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4AA" w:rsidRDefault="003D17FA">
      <w:pPr>
        <w:pStyle w:val="LO-normal"/>
        <w:spacing w:after="0" w:line="240" w:lineRule="auto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  <w:u w:val="single"/>
        </w:rPr>
        <w:t>TERMO DE REFERÊNCIA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                                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1. Introdução: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bookmarkStart w:id="0" w:name="_heading=h.gjdgxs" w:colFirst="0" w:colLast="0"/>
      <w:bookmarkEnd w:id="0"/>
      <w:r>
        <w:rPr>
          <w:rFonts w:ascii="Century Gothic" w:eastAsia="Century Gothic" w:hAnsi="Century Gothic" w:cs="Century Gothic"/>
          <w:sz w:val="20"/>
          <w:szCs w:val="20"/>
        </w:rPr>
        <w:t xml:space="preserve">Abertura de processo licitatório, </w:t>
      </w:r>
      <w:r>
        <w:rPr>
          <w:rFonts w:ascii="Century Gothic" w:eastAsia="Century Gothic" w:hAnsi="Century Gothic" w:cs="Century Gothic"/>
          <w:b/>
          <w:sz w:val="20"/>
          <w:szCs w:val="20"/>
        </w:rPr>
        <w:t>REGISTRO DE PREÇO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, para contratação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do serviços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de </w:t>
      </w:r>
      <w:r>
        <w:rPr>
          <w:rFonts w:ascii="Century Gothic" w:eastAsia="Century Gothic" w:hAnsi="Century Gothic" w:cs="Century Gothic"/>
          <w:b/>
          <w:sz w:val="20"/>
          <w:szCs w:val="20"/>
        </w:rPr>
        <w:t>LAVAGEM DE CONJUNTOS DE COMBATE AO INCÊNDIO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 ser utilizado no setor operacional do 7º Batalhão de Bombeiros Militar.</w:t>
      </w:r>
    </w:p>
    <w:p w:rsidR="00AA34AA" w:rsidRDefault="00AA34AA">
      <w:pPr>
        <w:pStyle w:val="LO-normal"/>
        <w:spacing w:after="0" w:line="240" w:lineRule="auto"/>
        <w:ind w:left="360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2. Objetivo: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bookmarkStart w:id="1" w:name="_heading=h.30j0zll" w:colFirst="0" w:colLast="0"/>
      <w:bookmarkEnd w:id="1"/>
      <w:r>
        <w:rPr>
          <w:rFonts w:ascii="Century Gothic" w:eastAsia="Century Gothic" w:hAnsi="Century Gothic" w:cs="Century Gothic"/>
          <w:sz w:val="20"/>
          <w:szCs w:val="20"/>
        </w:rPr>
        <w:t>Contratação do serviço de lavagem de conjuntos de combate ao incêndio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,</w:t>
      </w: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a ser utilizado pelo efetivo operacional do 7º Batalhão de Bombeiros Militar.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3. Justificativa: 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sz w:val="20"/>
          <w:szCs w:val="20"/>
        </w:rPr>
        <w:t>O Corpo de Bombeiros Militar de Itajaí, no desempenho de suas atividades diárias, necessita dispor do serviço de lavagem de conjuntos de combate ao incêndio para a remoção eficaz de sujeira e contaminantes. Os bombeiros estão expostos a uma variedade de s</w:t>
      </w:r>
      <w:r>
        <w:rPr>
          <w:rFonts w:ascii="Century Gothic" w:eastAsia="Century Gothic" w:hAnsi="Century Gothic" w:cs="Century Gothic"/>
          <w:sz w:val="20"/>
          <w:szCs w:val="20"/>
        </w:rPr>
        <w:t>ujeiras, resíduos e contaminantes durante suas operações, sendo que uma lavagem adequada e profissional é essencial para remover efetivamente esses elementos e evitar a contaminação cruzada. Os serviços de lavagem especializados têm o conhecimento e os rec</w:t>
      </w:r>
      <w:r>
        <w:rPr>
          <w:rFonts w:ascii="Century Gothic" w:eastAsia="Century Gothic" w:hAnsi="Century Gothic" w:cs="Century Gothic"/>
          <w:sz w:val="20"/>
          <w:szCs w:val="20"/>
        </w:rPr>
        <w:t>ursos para lidar com diferentes tipos de sujeira e contaminantes de forma segura e eficaz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. Salientamos a importância do serviço de lavagem de conjuntos de combate ao incêndio, permitindo segurança aos profissionais no desempenho de suas funções.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4. Valor </w:t>
      </w:r>
      <w:r>
        <w:rPr>
          <w:rFonts w:ascii="Century Gothic" w:eastAsia="Century Gothic" w:hAnsi="Century Gothic" w:cs="Century Gothic"/>
          <w:b/>
          <w:sz w:val="20"/>
          <w:szCs w:val="20"/>
        </w:rPr>
        <w:t>de Referência: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Global Estimado: R$ </w:t>
      </w:r>
      <w:r w:rsidRPr="003D17FA">
        <w:rPr>
          <w:rFonts w:ascii="Century Gothic" w:eastAsia="Century Gothic" w:hAnsi="Century Gothic" w:cs="Century Gothic"/>
          <w:b/>
          <w:sz w:val="20"/>
          <w:szCs w:val="20"/>
        </w:rPr>
        <w:t>15.394,00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bookmarkStart w:id="2" w:name="_GoBack"/>
      <w:bookmarkEnd w:id="2"/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5. Dotação Orçamentária: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6"/>
          <w:szCs w:val="16"/>
          <w:highlight w:val="white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As despesas decorrentes dos produtos adquiridos correrão à conta dos recursos oriundos do Convênio Municipal 021/2013, de 24 de outubro de 2013, consignados no Orçamento do Município de Itajaí, na </w:t>
      </w:r>
      <w:r>
        <w:rPr>
          <w:rFonts w:ascii="Century Gothic" w:eastAsia="Century Gothic" w:hAnsi="Century Gothic" w:cs="Century Gothic"/>
          <w:b/>
          <w:sz w:val="20"/>
          <w:szCs w:val="20"/>
        </w:rPr>
        <w:t>Dotação 184 – 3.3.90.00.00 Aplicações Diretas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6. Adjudicação: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A adjudicação se dará pelo menor preço por item.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7. Cotação de Preços: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7.1. Os valores do produto foram previamente estimados através de pesquisas de preços de mercado (online) junto a empresas especializadas n</w:t>
      </w:r>
      <w:r>
        <w:rPr>
          <w:rFonts w:ascii="Century Gothic" w:eastAsia="Century Gothic" w:hAnsi="Century Gothic" w:cs="Century Gothic"/>
          <w:sz w:val="20"/>
          <w:szCs w:val="20"/>
        </w:rPr>
        <w:t>o serviço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de </w:t>
      </w:r>
      <w:r>
        <w:rPr>
          <w:rFonts w:ascii="Century Gothic" w:eastAsia="Century Gothic" w:hAnsi="Century Gothic" w:cs="Century Gothic"/>
          <w:sz w:val="20"/>
          <w:szCs w:val="20"/>
        </w:rPr>
        <w:t>LAVAGEM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, conforme tabela abaixo: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tbl>
      <w:tblPr>
        <w:tblStyle w:val="a1"/>
        <w:tblW w:w="99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90"/>
        <w:gridCol w:w="5280"/>
        <w:gridCol w:w="1515"/>
        <w:gridCol w:w="1185"/>
        <w:gridCol w:w="1260"/>
      </w:tblGrid>
      <w:tr w:rsidR="00AA34AA">
        <w:trPr>
          <w:trHeight w:val="57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 xml:space="preserve">Valor </w:t>
            </w:r>
          </w:p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  <w:t>Total</w:t>
            </w:r>
          </w:p>
        </w:tc>
      </w:tr>
      <w:tr w:rsidR="00AA34AA">
        <w:trPr>
          <w:trHeight w:val="57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LAVAGEM DE CALÇA DE COMBATE AO INCÊNDIO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33,30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6.660,00</w:t>
            </w:r>
          </w:p>
        </w:tc>
      </w:tr>
      <w:tr w:rsidR="00AA34AA">
        <w:trPr>
          <w:trHeight w:val="57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LAVAGEM DE JAQUETA DE COMBATE AO INCÊNDIO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43,67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4AA" w:rsidRDefault="003D17FA">
            <w:pPr>
              <w:pStyle w:val="LO-normal"/>
              <w:widowControl w:val="0"/>
              <w:spacing w:after="0" w:line="240" w:lineRule="auto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8.734,00</w:t>
            </w:r>
          </w:p>
        </w:tc>
      </w:tr>
    </w:tbl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8. Especificações</w:t>
      </w:r>
    </w:p>
    <w:p w:rsidR="00AA34AA" w:rsidRDefault="00AA34A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8.1. LAVAGEM DE CALÇA DE COMBATE AO INCÊNDIO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8.1.1 A lavagem da calça de combate ao incêndio deve ser realizada com cuidado para garantir a limpeza adequada, mas também a preservação das características de proteção do tecido.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8.1.2 Verifique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as instruções do fabricante; Antes de iniciar a lavagem, ve</w:t>
      </w:r>
      <w:r>
        <w:rPr>
          <w:rFonts w:ascii="Century Gothic" w:eastAsia="Century Gothic" w:hAnsi="Century Gothic" w:cs="Century Gothic"/>
          <w:sz w:val="20"/>
          <w:szCs w:val="20"/>
        </w:rPr>
        <w:t>rifique as instruções específicas fornecidas pelo fabricante da calça de combate ao incêndio.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8.2. LAVAGEM DE JAQUETA DE COMBATE AO INCÊNDIO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8.2.1 A lavagem de jaqueta de combate ao incêndio deve ser realizada com cuidado para garantir a limpeza adequada,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mas também a preservação das características de proteção do tecido.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8.1.2 Verifique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as instruções do fabricante; Antes de iniciar a lavagem, verifique as instruções específicas fornecidas pelo fabricante da calça de combate ao incêndio.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9. Vigência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9.1 O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prazo de vigência da Ata de Registro de Preços será de 12 (doze) meses, a partir da sua assinatura.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>10. Local de Entrega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10.1 A entrega das roupas após a execução do serviço deverá ser realizada em dia útil, no horário compreendido entre 13hs00min e 18hs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00min, no 7º Batalhão de Bombeiros Militar, localizado na Av. Sete de Setembro, nº 1878, bairro Fazenda, Itajaí-SC, CEP 88301-202.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>11. Prazos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 xml:space="preserve">11.1 </w:t>
      </w: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>O prazo para a execução/entrega do serviço será de 7 (sete) dias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 xml:space="preserve"> a partir da entrega da autorização de forne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cimento ao vencedor do certame.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 xml:space="preserve">11.2 </w:t>
      </w: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>O prazo para pagamento ao fornecedor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é de até 30 (trinta) dias</w:t>
      </w:r>
      <w:r>
        <w:rPr>
          <w:rFonts w:ascii="Century Gothic" w:eastAsia="Century Gothic" w:hAnsi="Century Gothic" w:cs="Century Gothic"/>
          <w:sz w:val="20"/>
          <w:szCs w:val="20"/>
        </w:rPr>
        <w:t>, contados da data de entrega da nota fiscal, isenta de erros, e após a aceitação definitiva do objeto.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white"/>
        </w:rPr>
        <w:t>12. Recebimento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12.1 A aceitação do serviço contratado se dará da seguinte forma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: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1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2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.1.1 provisoriamente a partir da entrega para efeito de verificação de conformidade com as especificações constantes no Edital;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1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2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.1.2 definitivamente, após a verificação da conformidade c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om as especificações constantes do Edital e da proposta, e sua consequente aceitação, que se dará até 05 (cinco) dias úteis do recebimento provisório.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1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2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 xml:space="preserve">.1.3 na hipótese de a verificação a que se refere o subitem anterior não ser procedida dentro do prazo 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fixado, reputar-se-á como realizada, consumando-se o recebimento definitivo no dia do esgotamento do prazo.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>1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2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 xml:space="preserve">.1.4 </w:t>
      </w:r>
      <w:r>
        <w:rPr>
          <w:rFonts w:ascii="Century Gothic" w:eastAsia="Century Gothic" w:hAnsi="Century Gothic" w:cs="Century Gothic"/>
          <w:sz w:val="20"/>
          <w:szCs w:val="20"/>
          <w:highlight w:val="white"/>
        </w:rPr>
        <w:t>A Administração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white"/>
        </w:rPr>
        <w:t xml:space="preserve"> rejeitará, no todo ou em parte, a entrega dos bens em desacordo com as especificações técnicas exigidas.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13. Garantia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13.1 A contratada deverá fornecer garantia legal prevista no Código de Defesa do Consumidor, sem prejuízo da garantia oferecida pelo fabricante, a partir do momento da entrega definitiva dos objetos.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13.2 O contratado é responsável pelos danos causados dir</w:t>
      </w:r>
      <w:r>
        <w:rPr>
          <w:rFonts w:ascii="Century Gothic" w:eastAsia="Century Gothic" w:hAnsi="Century Gothic" w:cs="Century Gothic"/>
          <w:sz w:val="20"/>
          <w:szCs w:val="20"/>
        </w:rPr>
        <w:t>etamente à Administração ou a terceiros, decorrentes de sua culpa ou dolo na execução do contrato, não excluindo ou reduzindo essa responsabilidade a fiscalização ou o acompanhamento pelo Corpo de Bombeiros Militar de Santa Catarina.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13.3. O serviço a ser </w:t>
      </w:r>
      <w:r>
        <w:rPr>
          <w:rFonts w:ascii="Century Gothic" w:eastAsia="Century Gothic" w:hAnsi="Century Gothic" w:cs="Century Gothic"/>
          <w:sz w:val="20"/>
          <w:szCs w:val="20"/>
        </w:rPr>
        <w:t>entregue deverá ser realizado de acordo com as normas técnicas em vigor e legislação pertinente.</w:t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14. Obrigações da Contratada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4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 A Contratada obriga-se a: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4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.1.1 e</w:t>
      </w:r>
      <w:r>
        <w:rPr>
          <w:rFonts w:ascii="Century Gothic" w:eastAsia="Century Gothic" w:hAnsi="Century Gothic" w:cs="Century Gothic"/>
          <w:sz w:val="20"/>
          <w:szCs w:val="20"/>
        </w:rPr>
        <w:t>fetuar a entrega do serviço em perfeitas condições, no prazo e local indicados pela contratante, em estrita observância das especificações do Edital e da proposta, acompanhado da respectiva nota fiscal constando detalhadamente o serviço e prazo de garantia</w:t>
      </w:r>
      <w:r>
        <w:rPr>
          <w:rFonts w:ascii="Century Gothic" w:eastAsia="Century Gothic" w:hAnsi="Century Gothic" w:cs="Century Gothic"/>
          <w:sz w:val="20"/>
          <w:szCs w:val="20"/>
        </w:rPr>
        <w:t>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14.1.2 responsabilizar-se pelos vícios e danos decorrentes do serviço, de acordo com os artigos 12, 13, 18 e 26, do Código de Defesa do Consumidor (Lei nº 8.078, de 1990);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14.1.3 atender prontamente a quaisquer exigências da contratante, inerentes ao obj</w:t>
      </w:r>
      <w:r>
        <w:rPr>
          <w:rFonts w:ascii="Century Gothic" w:eastAsia="Century Gothic" w:hAnsi="Century Gothic" w:cs="Century Gothic"/>
          <w:sz w:val="20"/>
          <w:szCs w:val="20"/>
        </w:rPr>
        <w:t>eto da presente licitação;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14.1.4 comunicar à contratante, no prazo máximo de 24 (vinte e quatro) horas que antecede a data da entrega, os motivos que impossibilitem o cumprimento do prazo previsto, com a devida comprovação;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14.1.5 manter, durante toda a e</w:t>
      </w:r>
      <w:r>
        <w:rPr>
          <w:rFonts w:ascii="Century Gothic" w:eastAsia="Century Gothic" w:hAnsi="Century Gothic" w:cs="Century Gothic"/>
          <w:sz w:val="20"/>
          <w:szCs w:val="20"/>
        </w:rPr>
        <w:t>xecução do contrato, em compatibilidade com as obrigações assumidas, todas as condições de habilitação e qualificação exigidas na licitação;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14.1.6 não transferir a terceiros, por qualquer forma, nem mesmo parcialmente, as obrigações assumidas, nem subcont</w:t>
      </w:r>
      <w:r>
        <w:rPr>
          <w:rFonts w:ascii="Century Gothic" w:eastAsia="Century Gothic" w:hAnsi="Century Gothic" w:cs="Century Gothic"/>
          <w:sz w:val="20"/>
          <w:szCs w:val="20"/>
        </w:rPr>
        <w:t>ratar qualquer das prestações a que está obrigada, exceto nas condições autorizadas no Termo de Referência;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4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.1.7 não permitir a utilização de qualquer trabalho do menor de dezesseis anos, exceto na condição de aprendiz para os maiores de quatorze anos; 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em permitir a utilização do trabalho do menor de dezoito anos em tra</w:t>
      </w:r>
      <w:r>
        <w:rPr>
          <w:rFonts w:ascii="Century Gothic" w:eastAsia="Century Gothic" w:hAnsi="Century Gothic" w:cs="Century Gothic"/>
          <w:sz w:val="20"/>
          <w:szCs w:val="20"/>
        </w:rPr>
        <w:t>balho noturno, perigoso ou insalubre;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4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.1.8 responsabilizar-se pelas despesas dos tributos, encargos trabalhistas, previdenciários, fiscais, comerciais, taxas, fretes, seguros, deslocamen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to de pessoal, prestação de garantia e quaisquer outras que incidam ou venham a incidir na execução do contrato.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ab/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15. Obrigações da Contratante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15.1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A Contratante obriga-se a: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5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.1.1 r</w:t>
      </w:r>
      <w:r>
        <w:rPr>
          <w:rFonts w:ascii="Century Gothic" w:eastAsia="Century Gothic" w:hAnsi="Century Gothic" w:cs="Century Gothic"/>
          <w:sz w:val="20"/>
          <w:szCs w:val="20"/>
        </w:rPr>
        <w:t>eceber provisoriamente os serviços, disponibilizando local, data e horá</w:t>
      </w:r>
      <w:r>
        <w:rPr>
          <w:rFonts w:ascii="Century Gothic" w:eastAsia="Century Gothic" w:hAnsi="Century Gothic" w:cs="Century Gothic"/>
          <w:sz w:val="20"/>
          <w:szCs w:val="20"/>
        </w:rPr>
        <w:t>rio;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15.1.2 verificar minuciosamente, no prazo fixado, a conformidade dos serviços recebidos provisoriamente com as especificações constantes do Edital e da proposta, para fins de aceitação e recebimento definitivos; 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15.1.3 acompanhar e fiscalizar o cumpr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imento das obrigações da Contratada, através do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fiscal  do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contrato especialmente designado;</w:t>
      </w:r>
    </w:p>
    <w:p w:rsidR="00AA34AA" w:rsidRDefault="003D17FA">
      <w:pPr>
        <w:pStyle w:val="LO-normal"/>
        <w:widowControl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>
        <w:rPr>
          <w:rFonts w:ascii="Century Gothic" w:eastAsia="Century Gothic" w:hAnsi="Century Gothic" w:cs="Century Gothic"/>
          <w:color w:val="000000"/>
          <w:sz w:val="20"/>
          <w:szCs w:val="20"/>
        </w:rPr>
        <w:t>1</w:t>
      </w:r>
      <w:r>
        <w:rPr>
          <w:rFonts w:ascii="Century Gothic" w:eastAsia="Century Gothic" w:hAnsi="Century Gothic" w:cs="Century Gothic"/>
          <w:sz w:val="20"/>
          <w:szCs w:val="20"/>
        </w:rPr>
        <w:t>5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.1.4 efetuar o pagamento no prazo previsto.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ab/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>16. Fiscal do Contrato</w:t>
      </w:r>
    </w:p>
    <w:p w:rsidR="00AA34AA" w:rsidRDefault="003D17F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16.1. Os serviços adquiridos serão acompanhados e fiscalizados pelo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2 </w:t>
      </w:r>
      <w:proofErr w:type="spellStart"/>
      <w:r>
        <w:rPr>
          <w:rFonts w:ascii="Century Gothic" w:eastAsia="Century Gothic" w:hAnsi="Century Gothic" w:cs="Century Gothic"/>
          <w:b/>
          <w:sz w:val="20"/>
          <w:szCs w:val="20"/>
        </w:rPr>
        <w:t>Sgt</w:t>
      </w:r>
      <w:proofErr w:type="spellEnd"/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BM </w:t>
      </w:r>
      <w:proofErr w:type="spellStart"/>
      <w:r>
        <w:rPr>
          <w:rFonts w:ascii="Century Gothic" w:eastAsia="Century Gothic" w:hAnsi="Century Gothic" w:cs="Century Gothic"/>
          <w:b/>
          <w:sz w:val="20"/>
          <w:szCs w:val="20"/>
        </w:rPr>
        <w:t>Mtcl</w:t>
      </w:r>
      <w:proofErr w:type="spellEnd"/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926308-0 </w:t>
      </w:r>
      <w:r>
        <w:rPr>
          <w:rFonts w:ascii="Century Gothic" w:eastAsia="Century Gothic" w:hAnsi="Century Gothic" w:cs="Century Gothic"/>
          <w:b/>
          <w:sz w:val="20"/>
          <w:szCs w:val="20"/>
        </w:rPr>
        <w:t>Dênis da Silva Flores</w:t>
      </w:r>
      <w:r>
        <w:rPr>
          <w:rFonts w:ascii="Century Gothic" w:eastAsia="Century Gothic" w:hAnsi="Century Gothic" w:cs="Century Gothic"/>
          <w:sz w:val="20"/>
          <w:szCs w:val="20"/>
        </w:rPr>
        <w:t>, designado como Fiscal do Contrato.</w:t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AA34AA">
      <w:pPr>
        <w:pStyle w:val="LO-normal"/>
        <w:spacing w:after="0" w:line="240" w:lineRule="auto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A34AA" w:rsidRDefault="003D17FA">
      <w:pPr>
        <w:pStyle w:val="LO-normal"/>
        <w:widowControl w:val="0"/>
        <w:spacing w:before="180" w:after="0" w:line="240" w:lineRule="auto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Itajaí, 04 de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Julho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de 2023.</w:t>
      </w:r>
    </w:p>
    <w:p w:rsidR="00AA34AA" w:rsidRDefault="00AA34AA">
      <w:pPr>
        <w:pStyle w:val="LO-normal"/>
        <w:widowControl w:val="0"/>
        <w:spacing w:before="180"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:rsidR="00AA34AA" w:rsidRDefault="003D17FA">
      <w:pPr>
        <w:pStyle w:val="LO-normal"/>
        <w:widowControl w:val="0"/>
        <w:spacing w:before="180"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ab/>
      </w:r>
    </w:p>
    <w:p w:rsidR="00AA34AA" w:rsidRDefault="003D17FA">
      <w:pPr>
        <w:pStyle w:val="LO-normal"/>
        <w:widowControl w:val="0"/>
        <w:spacing w:after="0" w:line="240" w:lineRule="auto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Capitão BM Ricardo Alberto </w:t>
      </w:r>
      <w:proofErr w:type="spellStart"/>
      <w:r>
        <w:rPr>
          <w:rFonts w:ascii="Century Gothic" w:eastAsia="Century Gothic" w:hAnsi="Century Gothic" w:cs="Century Gothic"/>
          <w:b/>
          <w:sz w:val="20"/>
          <w:szCs w:val="20"/>
        </w:rPr>
        <w:t>Dummel</w:t>
      </w:r>
      <w:proofErr w:type="spellEnd"/>
    </w:p>
    <w:p w:rsidR="00AA34AA" w:rsidRDefault="003D17FA">
      <w:pPr>
        <w:pStyle w:val="LO-normal"/>
        <w:widowControl w:val="0"/>
        <w:spacing w:after="0" w:line="240" w:lineRule="auto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Chefe do B4 do 7º BBM</w:t>
      </w:r>
    </w:p>
    <w:p w:rsidR="00AA34AA" w:rsidRDefault="003D17FA">
      <w:pPr>
        <w:pStyle w:val="LO-normal"/>
        <w:widowControl w:val="0"/>
        <w:spacing w:after="0" w:line="240" w:lineRule="auto"/>
        <w:jc w:val="center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(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assinado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digitalmente)</w:t>
      </w:r>
    </w:p>
    <w:p w:rsidR="00AA34AA" w:rsidRDefault="00AA34AA">
      <w:pPr>
        <w:pStyle w:val="LO-normal"/>
        <w:widowControl w:val="0"/>
        <w:spacing w:after="240" w:line="240" w:lineRule="auto"/>
        <w:jc w:val="both"/>
      </w:pPr>
    </w:p>
    <w:sectPr w:rsidR="00AA34AA">
      <w:headerReference w:type="default" r:id="rId7"/>
      <w:footerReference w:type="default" r:id="rId8"/>
      <w:pgSz w:w="11906" w:h="16838"/>
      <w:pgMar w:top="341" w:right="851" w:bottom="142" w:left="1134" w:header="28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D17FA">
      <w:pPr>
        <w:spacing w:after="0" w:line="240" w:lineRule="auto"/>
      </w:pPr>
      <w:r>
        <w:separator/>
      </w:r>
    </w:p>
  </w:endnote>
  <w:endnote w:type="continuationSeparator" w:id="0">
    <w:p w:rsidR="00000000" w:rsidRDefault="003D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4AA" w:rsidRDefault="003D17FA">
    <w:pPr>
      <w:pStyle w:val="LO-normal"/>
      <w:tabs>
        <w:tab w:val="left" w:pos="360"/>
        <w:tab w:val="left" w:pos="570"/>
        <w:tab w:val="right" w:pos="10204"/>
      </w:tabs>
      <w:jc w:val="right"/>
      <w:rPr>
        <w:rFonts w:ascii="Century Gothic" w:eastAsia="Century Gothic" w:hAnsi="Century Gothic" w:cs="Century Gothic"/>
        <w:b/>
        <w:color w:val="808080"/>
        <w:sz w:val="16"/>
        <w:szCs w:val="16"/>
      </w:rPr>
    </w:pPr>
    <w:r>
      <w:rPr>
        <w:rFonts w:ascii="Century Gothic" w:eastAsia="Century Gothic" w:hAnsi="Century Gothic" w:cs="Century Gothic"/>
        <w:b/>
        <w:color w:val="808080"/>
        <w:sz w:val="16"/>
        <w:szCs w:val="16"/>
      </w:rPr>
      <w:t>Secretaria de Governo</w:t>
    </w:r>
  </w:p>
  <w:p w:rsidR="00AA34AA" w:rsidRDefault="003D17FA">
    <w:pPr>
      <w:pStyle w:val="LO-normal"/>
      <w:tabs>
        <w:tab w:val="left" w:pos="360"/>
        <w:tab w:val="left" w:pos="570"/>
        <w:tab w:val="right" w:pos="10204"/>
      </w:tabs>
      <w:jc w:val="right"/>
      <w:rPr>
        <w:rFonts w:ascii="Century Gothic" w:eastAsia="Century Gothic" w:hAnsi="Century Gothic" w:cs="Century Gothic"/>
        <w:b/>
        <w:color w:val="808080"/>
        <w:sz w:val="16"/>
        <w:szCs w:val="16"/>
      </w:rPr>
    </w:pPr>
    <w:r>
      <w:rPr>
        <w:rFonts w:ascii="Century Gothic" w:eastAsia="Century Gothic" w:hAnsi="Century Gothic" w:cs="Century Gothic"/>
        <w:b/>
        <w:color w:val="808080"/>
        <w:sz w:val="16"/>
        <w:szCs w:val="16"/>
      </w:rPr>
      <w:t>Diretoria Executiva de Licitações e Contratos</w:t>
    </w:r>
  </w:p>
  <w:p w:rsidR="00AA34AA" w:rsidRDefault="003D17FA">
    <w:pPr>
      <w:pStyle w:val="LO-normal"/>
      <w:jc w:val="right"/>
      <w:rPr>
        <w:rFonts w:ascii="Century Gothic" w:eastAsia="Century Gothic" w:hAnsi="Century Gothic" w:cs="Century Gothic"/>
        <w:color w:val="808080"/>
        <w:sz w:val="16"/>
        <w:szCs w:val="16"/>
      </w:rPr>
    </w:pPr>
    <w:r>
      <w:rPr>
        <w:rFonts w:ascii="Century Gothic" w:eastAsia="Century Gothic" w:hAnsi="Century Gothic" w:cs="Century Gothic"/>
        <w:color w:val="808080"/>
        <w:sz w:val="16"/>
        <w:szCs w:val="16"/>
      </w:rPr>
      <w:t>Rua Alberto Werner • 100 • Vila Operária</w:t>
    </w:r>
  </w:p>
  <w:p w:rsidR="00AA34AA" w:rsidRDefault="003D17FA">
    <w:pPr>
      <w:pStyle w:val="LO-normal"/>
      <w:jc w:val="right"/>
      <w:rPr>
        <w:rFonts w:ascii="Century Gothic" w:eastAsia="Century Gothic" w:hAnsi="Century Gothic" w:cs="Century Gothic"/>
        <w:color w:val="808080"/>
        <w:sz w:val="16"/>
        <w:szCs w:val="16"/>
      </w:rPr>
    </w:pPr>
    <w:r>
      <w:rPr>
        <w:rFonts w:ascii="Century Gothic" w:eastAsia="Century Gothic" w:hAnsi="Century Gothic" w:cs="Century Gothic"/>
        <w:color w:val="808080"/>
        <w:sz w:val="16"/>
        <w:szCs w:val="16"/>
      </w:rPr>
      <w:t>88304-053 • Itajaí • Santa Catarina</w:t>
    </w:r>
  </w:p>
  <w:p w:rsidR="00AA34AA" w:rsidRDefault="003D17FA">
    <w:pPr>
      <w:pStyle w:val="LO-normal"/>
      <w:jc w:val="right"/>
    </w:pPr>
    <w:r>
      <w:rPr>
        <w:rFonts w:ascii="Century Gothic" w:eastAsia="Century Gothic" w:hAnsi="Century Gothic" w:cs="Century Gothic"/>
        <w:color w:val="0000FF"/>
        <w:sz w:val="16"/>
        <w:szCs w:val="16"/>
        <w:u w:val="single"/>
      </w:rPr>
      <w:t>www.itajai.sc.gov.br</w:t>
    </w:r>
    <w:r>
      <w:rPr>
        <w:noProof/>
        <w:lang w:eastAsia="pt-BR" w:bidi="ar-SA"/>
      </w:rPr>
      <mc:AlternateContent>
        <mc:Choice Requires="wps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2679700</wp:posOffset>
              </wp:positionH>
              <wp:positionV relativeFrom="paragraph">
                <wp:posOffset>0</wp:posOffset>
              </wp:positionV>
              <wp:extent cx="452120" cy="300355"/>
              <wp:effectExtent l="0" t="0" r="0" b="0"/>
              <wp:wrapSquare wrapText="bothSides" distT="0" distB="0" distL="0" distR="0"/>
              <wp:docPr id="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29820" y="3639600"/>
                        <a:ext cx="432360" cy="280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AA34AA" w:rsidRDefault="003D17FA">
                          <w:pPr>
                            <w:pStyle w:val="LO-normal"/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style="position:absolute;left:0;text-align:left;margin-left:211pt;margin-top:0;width:35.6pt;height:23.6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Am3gEAAJ0DAAAOAAAAZHJzL2Uyb0RvYy54bWysU9uO2yAQfa/Uf0C8N77kskkUsqp2larS&#10;qo207QdgjGMkDHQgsfP3HbC7m+6+VfUDnvEZhnOG49390GlykeCVNYwWs5wSaYStlTkx+vPH4dOa&#10;Eh+4qbm2RjJ6lZ7e7z9+2PVuK0vbWl1LINjE+G3vGG1DcNss86KVHfcz66RBsLHQ8YApnLIaeI/d&#10;O52Veb7Kegu1Ayuk9/j1cQTpPvVvGinC96bxMhDNKHILaYW0VnHN9ju+PQF3rRITDf4PLDquDB76&#10;0uqRB07OoN616pQA620TZsJ2mW0aJWTSgGqK/I2a55Y7mbTgcLx7GZP/f23Ft8sRiKoZvaPE8A6v&#10;KM6kd36L0LM7wpR5DKPAoYEuvpE6GRhdFuVmXeJkr4zOV/PNKp9mKodABBYs5uV8hbjAgnKdr0c8&#10;e23kwIcv0nYkBowCXlmaJL88+YCHY+mfkniut1rVB6V1SuBUPWggF47Xe0hPZI9b/irTJhYbG7eN&#10;cPySRZGjrBiFoRomrZWtrzgV78RBIakn7sORA/qioKRHrzDqf505SEr0V4OXsSkW5RLNlZLF8g41&#10;ErhFqluEG9FatGCgZAwfQjLkyPHzOdhGJeGR1UhlIoseSOImv0aT3eap6vWv2v8GAAD//wMAUEsD&#10;BBQABgAIAAAAIQCwbTGm3QAAAAcBAAAPAAAAZHJzL2Rvd25yZXYueG1sTI9BT8MwDIXvSPyHyEjc&#10;WEpX2ChNJzSJGxKigMYxbUxbLXGqJu3Kv8ec2MV61rPe+1zsFmfFjGPoPSm4XSUgkBpvemoVfLw/&#10;32xBhKjJaOsJFfxggF15eVHo3PgTveFcxVZwCIVcK+hiHHIpQ9Oh02HlByT2vv3odOR1bKUZ9YnD&#10;nZVpktxLp3vihk4PuO+wOVaTU2DnJPs81Hdf26pv8eW4zHs/vSp1fbU8PYKIuMT/Y/jDZ3Qoman2&#10;E5kgrIIsTfmXqIAn29nDOgVRs9isQZaFPOcvfwEAAP//AwBQSwECLQAUAAYACAAAACEAtoM4kv4A&#10;AADhAQAAEwAAAAAAAAAAAAAAAAAAAAAAW0NvbnRlbnRfVHlwZXNdLnhtbFBLAQItABQABgAIAAAA&#10;IQA4/SH/1gAAAJQBAAALAAAAAAAAAAAAAAAAAC8BAABfcmVscy8ucmVsc1BLAQItABQABgAIAAAA&#10;IQBvhSAm3gEAAJ0DAAAOAAAAAAAAAAAAAAAAAC4CAABkcnMvZTJvRG9jLnhtbFBLAQItABQABgAI&#10;AAAAIQCwbTGm3QAAAAcBAAAPAAAAAAAAAAAAAAAAADgEAABkcnMvZG93bnJldi54bWxQSwUGAAAA&#10;AAQABADzAAAAQgUAAAAA&#10;" stroked="f">
              <v:textbox inset="2.53958mm,1.2694mm,2.53958mm,1.2694mm">
                <w:txbxContent>
                  <w:p w:rsidR="00AA34AA" w:rsidRDefault="003D17FA">
                    <w:pPr>
                      <w:pStyle w:val="LO-normal"/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  <w10:wrap type="square"/>
            </v:rect>
          </w:pict>
        </mc:Fallback>
      </mc:AlternateContent>
    </w:r>
  </w:p>
  <w:p w:rsidR="00AA34AA" w:rsidRDefault="003D17FA">
    <w:pPr>
      <w:pStyle w:val="LO-normal"/>
      <w:widowControl w:val="0"/>
      <w:spacing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hyperlink r:id="rId1">
      <w:r>
        <w:rPr>
          <w:rFonts w:ascii="Century Gothic" w:eastAsia="Century Gothic" w:hAnsi="Century Gothic" w:cs="Century Gothic"/>
          <w:color w:val="0000FF"/>
          <w:sz w:val="16"/>
          <w:szCs w:val="16"/>
          <w:u w:val="single"/>
        </w:rPr>
        <w:t>licitacoes@itajai.sc.gov.br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D17FA">
      <w:pPr>
        <w:spacing w:after="0" w:line="240" w:lineRule="auto"/>
      </w:pPr>
      <w:r>
        <w:separator/>
      </w:r>
    </w:p>
  </w:footnote>
  <w:footnote w:type="continuationSeparator" w:id="0">
    <w:p w:rsidR="00000000" w:rsidRDefault="003D1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4AA" w:rsidRDefault="003D17FA">
    <w:pPr>
      <w:pStyle w:val="LO-normal"/>
      <w:widowControl w:val="0"/>
      <w:tabs>
        <w:tab w:val="center" w:pos="5102"/>
        <w:tab w:val="right" w:pos="1020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  <w:lang w:eastAsia="pt-BR" w:bidi="ar-SA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4721860</wp:posOffset>
          </wp:positionH>
          <wp:positionV relativeFrom="paragraph">
            <wp:posOffset>53975</wp:posOffset>
          </wp:positionV>
          <wp:extent cx="1295400" cy="358775"/>
          <wp:effectExtent l="0" t="0" r="0" b="0"/>
          <wp:wrapSquare wrapText="bothSides" distT="0" distB="0" distL="114300" distR="114300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5400" cy="358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A34AA" w:rsidRDefault="00AA34AA">
    <w:pPr>
      <w:pStyle w:val="LO-normal"/>
      <w:widowControl w:val="0"/>
      <w:tabs>
        <w:tab w:val="center" w:pos="5102"/>
        <w:tab w:val="right" w:pos="1020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  <w:p w:rsidR="00AA34AA" w:rsidRDefault="00AA34AA">
    <w:pPr>
      <w:pStyle w:val="LO-normal"/>
      <w:widowControl w:val="0"/>
      <w:tabs>
        <w:tab w:val="center" w:pos="5102"/>
        <w:tab w:val="right" w:pos="10205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4AA"/>
    <w:rsid w:val="003D17FA"/>
    <w:rsid w:val="00AA34AA"/>
    <w:rsid w:val="00D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05D1"/>
  <w15:docId w15:val="{548E8986-F5FA-4435-B48A-19933C14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 w:bidi="hi-IN"/>
    </w:rPr>
  </w:style>
  <w:style w:type="paragraph" w:styleId="Ttulo1">
    <w:name w:val="heading 1"/>
    <w:basedOn w:val="LO-normal"/>
    <w:next w:val="LO-normal"/>
    <w:qFormat/>
    <w:pPr>
      <w:keepNext/>
      <w:widowControl w:val="0"/>
      <w:pBdr>
        <w:bottom w:val="single" w:sz="8" w:space="4" w:color="4F81BD"/>
      </w:pBdr>
      <w:spacing w:before="240" w:after="120" w:line="240" w:lineRule="auto"/>
      <w:outlineLvl w:val="0"/>
    </w:pPr>
    <w:rPr>
      <w:rFonts w:ascii="Arial" w:eastAsia="Arial" w:hAnsi="Arial" w:cs="Arial"/>
      <w:b/>
      <w:color w:val="000000"/>
      <w:sz w:val="32"/>
      <w:szCs w:val="32"/>
    </w:rPr>
  </w:style>
  <w:style w:type="paragraph" w:styleId="Ttulo2">
    <w:name w:val="heading 2"/>
    <w:basedOn w:val="LO-normal"/>
    <w:next w:val="LO-normal"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qFormat/>
    <w:pPr>
      <w:keepNext/>
      <w:widowControl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Ttulo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Ttulo6">
    <w:name w:val="heading 6"/>
    <w:basedOn w:val="LO-normal"/>
    <w:next w:val="LO-normal"/>
    <w:qFormat/>
    <w:pPr>
      <w:widowControl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LO-normal"/>
    <w:next w:val="LO-normal"/>
    <w:qFormat/>
    <w:pPr>
      <w:pBdr>
        <w:bottom w:val="single" w:sz="8" w:space="4" w:color="4F81BD"/>
      </w:pBdr>
      <w:spacing w:after="300" w:line="240" w:lineRule="auto"/>
    </w:pPr>
    <w:rPr>
      <w:rFonts w:ascii="Cambria" w:eastAsia="Cambria" w:hAnsi="Cambria" w:cs="Cambria"/>
      <w:color w:val="17365D"/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nkdaInternet">
    <w:name w:val="Link da Internet"/>
    <w:rPr>
      <w:color w:val="000080"/>
      <w:u w:val="single"/>
    </w:rPr>
  </w:style>
  <w:style w:type="paragraph" w:styleId="Corpodetexto">
    <w:name w:val="Body Text"/>
    <w:basedOn w:val="LO-normal1"/>
    <w:pPr>
      <w:spacing w:after="140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LO-normal1"/>
    <w:qFormat/>
    <w:pPr>
      <w:suppressLineNumbers/>
    </w:pPr>
    <w:rPr>
      <w:rFonts w:cs="Lohit Devanagari"/>
    </w:rPr>
  </w:style>
  <w:style w:type="paragraph" w:customStyle="1" w:styleId="LO-normal1">
    <w:name w:val="LO-normal1"/>
    <w:qFormat/>
    <w:rPr>
      <w:lang w:eastAsia="zh-CN" w:bidi="hi-IN"/>
    </w:rPr>
  </w:style>
  <w:style w:type="paragraph" w:customStyle="1" w:styleId="LO-normal">
    <w:name w:val="LO-normal"/>
    <w:qFormat/>
    <w:rPr>
      <w:lang w:eastAsia="zh-CN" w:bidi="hi-IN"/>
    </w:r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LO-normal1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customStyle="1" w:styleId="Contedodoquadro">
    <w:name w:val="Conteúdo do quadro"/>
    <w:basedOn w:val="LO-normal1"/>
    <w:qFormat/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nomnNxpCtPH0Kcw56Wh7mgJN9g==">CgMxLjAyCGguZ2pkZ3hzMgloLjMwajB6bGw4AHIhMTBNRmk0ang0MS1QYzBzS0xaSER0ZE9tYVNHMTFBa1Nh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1169</Words>
  <Characters>6315</Characters>
  <Application>Microsoft Office Word</Application>
  <DocSecurity>0</DocSecurity>
  <Lines>52</Lines>
  <Paragraphs>14</Paragraphs>
  <ScaleCrop>false</ScaleCrop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3</cp:revision>
  <dcterms:created xsi:type="dcterms:W3CDTF">2023-07-17T14:52:00Z</dcterms:created>
  <dcterms:modified xsi:type="dcterms:W3CDTF">2023-07-17T14:57:00Z</dcterms:modified>
</cp:coreProperties>
</file>