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2BB" w:rsidRDefault="003A3288">
      <w:pPr>
        <w:widowControl/>
        <w:pBdr>
          <w:top w:val="nil"/>
          <w:left w:val="nil"/>
          <w:bottom w:val="nil"/>
          <w:right w:val="nil"/>
          <w:between w:val="nil"/>
        </w:pBdr>
        <w:spacing w:line="360" w:lineRule="auto"/>
        <w:jc w:val="center"/>
        <w:rPr>
          <w:rFonts w:ascii="Arial" w:eastAsia="Arial" w:hAnsi="Arial" w:cs="Arial"/>
          <w:b/>
          <w:sz w:val="20"/>
          <w:szCs w:val="20"/>
          <w:u w:val="single"/>
        </w:rPr>
      </w:pPr>
      <w:r>
        <w:rPr>
          <w:rFonts w:ascii="Arial" w:eastAsia="Arial" w:hAnsi="Arial" w:cs="Arial"/>
          <w:noProof/>
          <w:color w:val="000000"/>
        </w:rPr>
        <w:drawing>
          <wp:anchor distT="0" distB="0" distL="0" distR="0" simplePos="0" relativeHeight="251658240" behindDoc="0" locked="0" layoutInCell="1" allowOverlap="1">
            <wp:simplePos x="0" y="0"/>
            <wp:positionH relativeFrom="page">
              <wp:posOffset>4683760</wp:posOffset>
            </wp:positionH>
            <wp:positionV relativeFrom="page">
              <wp:posOffset>88900</wp:posOffset>
            </wp:positionV>
            <wp:extent cx="2306955" cy="627380"/>
            <wp:effectExtent l="0" t="0" r="0" b="0"/>
            <wp:wrapSquare wrapText="bothSides" distT="0" distB="0" distL="0" distR="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306955" cy="627380"/>
                    </a:xfrm>
                    <a:prstGeom prst="rect">
                      <a:avLst/>
                    </a:prstGeom>
                    <a:ln/>
                  </pic:spPr>
                </pic:pic>
              </a:graphicData>
            </a:graphic>
          </wp:anchor>
        </w:drawing>
      </w:r>
      <w:r>
        <w:rPr>
          <w:rFonts w:ascii="Arial" w:eastAsia="Arial" w:hAnsi="Arial" w:cs="Arial"/>
          <w:b/>
          <w:color w:val="000000"/>
          <w:sz w:val="20"/>
          <w:szCs w:val="20"/>
          <w:u w:val="single"/>
        </w:rPr>
        <w:t>TERMO DE REFERÊNCIA</w:t>
      </w:r>
    </w:p>
    <w:p w:rsidR="009C62BB" w:rsidRDefault="009C62BB">
      <w:pPr>
        <w:widowControl/>
        <w:pBdr>
          <w:top w:val="nil"/>
          <w:left w:val="nil"/>
          <w:bottom w:val="nil"/>
          <w:right w:val="nil"/>
          <w:between w:val="nil"/>
        </w:pBdr>
        <w:spacing w:line="360" w:lineRule="auto"/>
        <w:jc w:val="center"/>
        <w:rPr>
          <w:rFonts w:ascii="Arial" w:eastAsia="Arial" w:hAnsi="Arial" w:cs="Arial"/>
          <w:b/>
          <w:sz w:val="20"/>
          <w:szCs w:val="20"/>
          <w:u w:val="single"/>
        </w:rPr>
      </w:pPr>
    </w:p>
    <w:p w:rsidR="009C62BB" w:rsidRDefault="009C62BB">
      <w:pPr>
        <w:widowControl/>
        <w:pBdr>
          <w:top w:val="nil"/>
          <w:left w:val="nil"/>
          <w:bottom w:val="nil"/>
          <w:right w:val="nil"/>
          <w:between w:val="nil"/>
        </w:pBdr>
        <w:spacing w:line="360" w:lineRule="auto"/>
        <w:jc w:val="center"/>
        <w:rPr>
          <w:rFonts w:ascii="Arial" w:eastAsia="Arial" w:hAnsi="Arial" w:cs="Arial"/>
          <w:color w:val="000000"/>
          <w:sz w:val="20"/>
          <w:szCs w:val="20"/>
          <w:u w:val="single"/>
        </w:rPr>
      </w:pPr>
    </w:p>
    <w:p w:rsidR="009C62BB" w:rsidRDefault="003A3288">
      <w:pPr>
        <w:widowControl/>
        <w:numPr>
          <w:ilvl w:val="0"/>
          <w:numId w:val="1"/>
        </w:numPr>
        <w:tabs>
          <w:tab w:val="left" w:pos="0"/>
          <w:tab w:val="left" w:pos="720"/>
        </w:tabs>
        <w:spacing w:line="360" w:lineRule="auto"/>
        <w:ind w:left="0" w:firstLine="0"/>
        <w:jc w:val="both"/>
        <w:rPr>
          <w:rFonts w:ascii="Arial" w:eastAsia="Arial" w:hAnsi="Arial" w:cs="Arial"/>
          <w:b/>
          <w:sz w:val="20"/>
          <w:szCs w:val="20"/>
        </w:rPr>
      </w:pPr>
      <w:r>
        <w:rPr>
          <w:rFonts w:ascii="Arial" w:eastAsia="Arial" w:hAnsi="Arial" w:cs="Arial"/>
          <w:b/>
          <w:sz w:val="20"/>
          <w:szCs w:val="20"/>
        </w:rPr>
        <w:t>OBJETO</w:t>
      </w:r>
    </w:p>
    <w:p w:rsidR="009C62BB" w:rsidRDefault="003A3288">
      <w:pPr>
        <w:widowControl/>
        <w:tabs>
          <w:tab w:val="left" w:pos="0"/>
          <w:tab w:val="left" w:pos="720"/>
        </w:tabs>
        <w:spacing w:line="360" w:lineRule="auto"/>
        <w:jc w:val="both"/>
      </w:pPr>
      <w:r>
        <w:rPr>
          <w:rFonts w:ascii="Arial" w:eastAsia="Arial" w:hAnsi="Arial" w:cs="Arial"/>
          <w:sz w:val="20"/>
          <w:szCs w:val="20"/>
        </w:rPr>
        <w:t>Aquisição de materiais didáticos para uso dos alunos e professores da Rede Municipal de Ensino de Itajaí (SC), no exercício de 2023, conforme consta no presente Termo de Referência.</w:t>
      </w:r>
    </w:p>
    <w:p w:rsidR="009C62BB" w:rsidRDefault="009C62BB">
      <w:pPr>
        <w:widowControl/>
        <w:tabs>
          <w:tab w:val="left" w:pos="0"/>
          <w:tab w:val="left" w:pos="720"/>
        </w:tabs>
        <w:spacing w:line="360" w:lineRule="auto"/>
        <w:jc w:val="both"/>
        <w:rPr>
          <w:rFonts w:ascii="Arial" w:eastAsia="Arial" w:hAnsi="Arial" w:cs="Arial"/>
          <w:sz w:val="20"/>
          <w:szCs w:val="20"/>
        </w:rPr>
      </w:pPr>
    </w:p>
    <w:p w:rsidR="009C62BB" w:rsidRDefault="003A3288">
      <w:pPr>
        <w:widowControl/>
        <w:numPr>
          <w:ilvl w:val="0"/>
          <w:numId w:val="1"/>
        </w:numPr>
        <w:tabs>
          <w:tab w:val="left" w:pos="0"/>
          <w:tab w:val="left" w:pos="720"/>
        </w:tabs>
        <w:spacing w:line="360" w:lineRule="auto"/>
        <w:ind w:left="0" w:firstLine="0"/>
        <w:jc w:val="both"/>
        <w:rPr>
          <w:rFonts w:ascii="Arial" w:eastAsia="Arial" w:hAnsi="Arial" w:cs="Arial"/>
          <w:b/>
          <w:sz w:val="20"/>
          <w:szCs w:val="20"/>
        </w:rPr>
      </w:pPr>
      <w:r>
        <w:rPr>
          <w:rFonts w:ascii="Arial" w:eastAsia="Arial" w:hAnsi="Arial" w:cs="Arial"/>
          <w:b/>
          <w:sz w:val="20"/>
          <w:szCs w:val="20"/>
        </w:rPr>
        <w:t>DA JUSTIFICATIVA</w:t>
      </w:r>
    </w:p>
    <w:p w:rsidR="009C62BB" w:rsidRDefault="003A3288">
      <w:pPr>
        <w:spacing w:line="360" w:lineRule="auto"/>
        <w:jc w:val="both"/>
      </w:pPr>
      <w:r>
        <w:rPr>
          <w:rFonts w:ascii="Arial" w:eastAsia="Arial" w:hAnsi="Arial" w:cs="Arial"/>
          <w:sz w:val="20"/>
          <w:szCs w:val="20"/>
        </w:rPr>
        <w:t>Considerando a importância didático-pedagógica dos Materiais Escolares como instrumento essencial ao desenvolvimento do processo de ensino-aprendizagem no ambiente escolar e pela necessidade de organização e planejamento do trabalho aplicado pelos educadores junto aos alunos das unidades escolares da rede pública municipal de ensino do município de Itajaí, justifica-se o objeto em epígrafe.</w:t>
      </w:r>
    </w:p>
    <w:p w:rsidR="009C62BB" w:rsidRDefault="009C62BB">
      <w:pPr>
        <w:spacing w:line="360" w:lineRule="auto"/>
        <w:jc w:val="both"/>
        <w:rPr>
          <w:rFonts w:ascii="Arial" w:eastAsia="Arial" w:hAnsi="Arial" w:cs="Arial"/>
          <w:sz w:val="20"/>
          <w:szCs w:val="20"/>
        </w:rPr>
      </w:pPr>
    </w:p>
    <w:p w:rsidR="009C62BB" w:rsidRDefault="003A3288">
      <w:pPr>
        <w:numPr>
          <w:ilvl w:val="0"/>
          <w:numId w:val="1"/>
        </w:numPr>
        <w:spacing w:line="360" w:lineRule="auto"/>
        <w:ind w:left="0" w:firstLine="0"/>
        <w:jc w:val="both"/>
        <w:rPr>
          <w:rFonts w:ascii="Arial" w:eastAsia="Arial" w:hAnsi="Arial" w:cs="Arial"/>
          <w:b/>
          <w:sz w:val="20"/>
          <w:szCs w:val="20"/>
        </w:rPr>
      </w:pPr>
      <w:r>
        <w:rPr>
          <w:rFonts w:ascii="Arial" w:eastAsia="Arial" w:hAnsi="Arial" w:cs="Arial"/>
          <w:b/>
          <w:sz w:val="20"/>
          <w:szCs w:val="20"/>
        </w:rPr>
        <w:t>QUALIFICAÇÃO TÉCNICA</w:t>
      </w:r>
    </w:p>
    <w:p w:rsidR="009C62BB" w:rsidRDefault="003A3288">
      <w:pPr>
        <w:spacing w:line="360" w:lineRule="auto"/>
        <w:jc w:val="both"/>
        <w:rPr>
          <w:rFonts w:ascii="Arial" w:eastAsia="Arial" w:hAnsi="Arial" w:cs="Arial"/>
          <w:sz w:val="20"/>
          <w:szCs w:val="20"/>
        </w:rPr>
      </w:pPr>
      <w:r>
        <w:rPr>
          <w:rFonts w:ascii="Arial" w:eastAsia="Arial" w:hAnsi="Arial" w:cs="Arial"/>
          <w:sz w:val="20"/>
          <w:szCs w:val="20"/>
        </w:rPr>
        <w:t>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fornecido; local e data do fornecimento.</w:t>
      </w:r>
    </w:p>
    <w:p w:rsidR="009C62BB" w:rsidRDefault="009C62BB">
      <w:pPr>
        <w:spacing w:line="360" w:lineRule="auto"/>
        <w:jc w:val="both"/>
        <w:rPr>
          <w:rFonts w:ascii="Arial" w:eastAsia="Arial" w:hAnsi="Arial" w:cs="Arial"/>
          <w:sz w:val="20"/>
          <w:szCs w:val="20"/>
        </w:rPr>
      </w:pPr>
    </w:p>
    <w:p w:rsidR="009C62BB" w:rsidRDefault="003A3288">
      <w:pPr>
        <w:widowControl/>
        <w:numPr>
          <w:ilvl w:val="0"/>
          <w:numId w:val="1"/>
        </w:numPr>
        <w:tabs>
          <w:tab w:val="left" w:pos="0"/>
        </w:tabs>
        <w:spacing w:line="360" w:lineRule="auto"/>
        <w:ind w:left="0" w:firstLine="0"/>
        <w:jc w:val="both"/>
        <w:rPr>
          <w:rFonts w:ascii="Arial" w:eastAsia="Arial" w:hAnsi="Arial" w:cs="Arial"/>
          <w:b/>
          <w:sz w:val="20"/>
          <w:szCs w:val="20"/>
        </w:rPr>
      </w:pPr>
      <w:r>
        <w:rPr>
          <w:rFonts w:ascii="Arial" w:eastAsia="Arial" w:hAnsi="Arial" w:cs="Arial"/>
          <w:b/>
          <w:sz w:val="20"/>
          <w:szCs w:val="20"/>
        </w:rPr>
        <w:t>DA DOTAÇÃO ORÇAMENTÁRIA</w:t>
      </w:r>
    </w:p>
    <w:p w:rsidR="009C62BB" w:rsidRDefault="003A3288">
      <w:pPr>
        <w:widowControl/>
        <w:tabs>
          <w:tab w:val="left" w:pos="0"/>
        </w:tabs>
        <w:spacing w:line="360" w:lineRule="auto"/>
      </w:pPr>
      <w:r>
        <w:rPr>
          <w:rFonts w:ascii="Arial" w:eastAsia="Arial" w:hAnsi="Arial" w:cs="Arial"/>
          <w:sz w:val="20"/>
          <w:szCs w:val="20"/>
        </w:rPr>
        <w:t xml:space="preserve">As despesas decorrentes do processo licitatório estão previstas na dotação </w:t>
      </w:r>
      <w:r>
        <w:rPr>
          <w:rFonts w:ascii="Arial" w:eastAsia="Arial" w:hAnsi="Arial" w:cs="Arial"/>
          <w:color w:val="222222"/>
          <w:sz w:val="22"/>
          <w:szCs w:val="22"/>
          <w:highlight w:val="white"/>
        </w:rPr>
        <w:t>318, 350 e 366.</w:t>
      </w:r>
    </w:p>
    <w:p w:rsidR="009C62BB" w:rsidRDefault="009C62BB">
      <w:pPr>
        <w:widowControl/>
        <w:tabs>
          <w:tab w:val="left" w:pos="0"/>
        </w:tabs>
        <w:spacing w:line="360" w:lineRule="auto"/>
        <w:rPr>
          <w:rFonts w:ascii="Arial" w:eastAsia="Arial" w:hAnsi="Arial" w:cs="Arial"/>
          <w:sz w:val="20"/>
          <w:szCs w:val="20"/>
        </w:rPr>
      </w:pPr>
    </w:p>
    <w:p w:rsidR="009C62BB" w:rsidRDefault="003A3288">
      <w:pPr>
        <w:widowControl/>
        <w:numPr>
          <w:ilvl w:val="0"/>
          <w:numId w:val="1"/>
        </w:numPr>
        <w:pBdr>
          <w:top w:val="nil"/>
          <w:left w:val="nil"/>
          <w:bottom w:val="nil"/>
          <w:right w:val="nil"/>
          <w:between w:val="nil"/>
        </w:pBd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 DESCRIÇÃO DOS MATERIAIS, QUANTITATIVOS E VALORES DE REFERÊNCIA</w:t>
      </w:r>
    </w:p>
    <w:tbl>
      <w:tblPr>
        <w:tblStyle w:val="2"/>
        <w:tblW w:w="10515" w:type="dxa"/>
        <w:jc w:val="center"/>
        <w:tblInd w:w="0" w:type="dxa"/>
        <w:tblLayout w:type="fixed"/>
        <w:tblLook w:val="0000"/>
      </w:tblPr>
      <w:tblGrid>
        <w:gridCol w:w="675"/>
        <w:gridCol w:w="4425"/>
        <w:gridCol w:w="1365"/>
        <w:gridCol w:w="1125"/>
        <w:gridCol w:w="1140"/>
        <w:gridCol w:w="1785"/>
      </w:tblGrid>
      <w:tr w:rsidR="009C62BB">
        <w:trPr>
          <w:cantSplit/>
          <w:trHeight w:val="674"/>
          <w:tblHeader/>
          <w:jc w:val="center"/>
        </w:trPr>
        <w:tc>
          <w:tcPr>
            <w:tcW w:w="67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Item</w:t>
            </w:r>
          </w:p>
        </w:tc>
        <w:tc>
          <w:tcPr>
            <w:tcW w:w="4425" w:type="dxa"/>
            <w:tcBorders>
              <w:top w:val="single" w:sz="4" w:space="0" w:color="00000A"/>
              <w:left w:val="single" w:sz="4" w:space="0" w:color="00000A"/>
              <w:bottom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Descrição</w:t>
            </w:r>
          </w:p>
        </w:tc>
        <w:tc>
          <w:tcPr>
            <w:tcW w:w="136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Quantidade</w:t>
            </w:r>
          </w:p>
        </w:tc>
        <w:tc>
          <w:tcPr>
            <w:tcW w:w="112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Unidade de medida</w:t>
            </w:r>
          </w:p>
        </w:tc>
        <w:tc>
          <w:tcPr>
            <w:tcW w:w="1140" w:type="dxa"/>
            <w:tcBorders>
              <w:top w:val="single" w:sz="4" w:space="0" w:color="00000A"/>
              <w:left w:val="single" w:sz="4" w:space="0" w:color="00000A"/>
              <w:bottom w:val="single" w:sz="4" w:space="0" w:color="00000A"/>
              <w:right w:val="single" w:sz="4" w:space="0" w:color="00000A"/>
            </w:tcBorders>
            <w:vAlign w:val="center"/>
          </w:tcPr>
          <w:p w:rsidR="009C62BB" w:rsidRDefault="003A3288">
            <w:pPr>
              <w:jc w:val="center"/>
              <w:rPr>
                <w:rFonts w:ascii="Arial" w:eastAsia="Arial" w:hAnsi="Arial" w:cs="Arial"/>
                <w:b/>
                <w:sz w:val="20"/>
                <w:szCs w:val="20"/>
              </w:rPr>
            </w:pPr>
            <w:r>
              <w:rPr>
                <w:rFonts w:ascii="Arial" w:eastAsia="Arial" w:hAnsi="Arial" w:cs="Arial"/>
                <w:b/>
                <w:sz w:val="20"/>
                <w:szCs w:val="20"/>
              </w:rPr>
              <w:t>Valor unitário em reais</w:t>
            </w:r>
          </w:p>
        </w:tc>
        <w:tc>
          <w:tcPr>
            <w:tcW w:w="178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Valor total em reais</w:t>
            </w:r>
          </w:p>
        </w:tc>
      </w:tr>
      <w:tr w:rsidR="009C62BB">
        <w:trPr>
          <w:cantSplit/>
          <w:trHeight w:val="1021"/>
          <w:tblHeader/>
          <w:jc w:val="center"/>
        </w:trPr>
        <w:tc>
          <w:tcPr>
            <w:tcW w:w="67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1</w:t>
            </w:r>
          </w:p>
        </w:tc>
        <w:tc>
          <w:tcPr>
            <w:tcW w:w="4425" w:type="dxa"/>
            <w:tcBorders>
              <w:top w:val="single" w:sz="4" w:space="0" w:color="00000A"/>
              <w:left w:val="single" w:sz="4" w:space="0" w:color="00000A"/>
              <w:bottom w:val="single" w:sz="4" w:space="0" w:color="00000A"/>
            </w:tcBorders>
          </w:tcPr>
          <w:p w:rsidR="009C62BB" w:rsidRDefault="003A3288" w:rsidP="004415AE">
            <w:pPr>
              <w:spacing w:line="276" w:lineRule="auto"/>
              <w:jc w:val="both"/>
            </w:pPr>
            <w:r>
              <w:rPr>
                <w:rFonts w:ascii="Arial" w:eastAsia="Arial" w:hAnsi="Arial" w:cs="Arial"/>
                <w:b/>
                <w:sz w:val="20"/>
                <w:szCs w:val="20"/>
              </w:rPr>
              <w:t xml:space="preserve">25780 – Canetão hidrocor, caixa com 12 cores diferentes </w:t>
            </w:r>
            <w:r>
              <w:rPr>
                <w:rFonts w:ascii="Arial" w:eastAsia="Arial" w:hAnsi="Arial" w:cs="Arial"/>
                <w:sz w:val="20"/>
                <w:szCs w:val="20"/>
              </w:rPr>
              <w:t xml:space="preserve">com ponta de poliéster, corpo opaco ou brilhante com diâmetro mínimo de 1,3cm e comprimento de 13,0cm, ponta média resistente que não acalca, tinta lavável, na maioria dos tecidos e sobre a pele. A tampa deve ser ventilada. São obrigatórias as cores: preto, amarelo, vermelho, azul, verde, rosa, laranja, cinza e marrom; Composição resina termoplástica, água, corantes, umectantes. Deverá estar regulamentado de acordo com a NBR 15236:2005 – Segurança de Artigos Escolares, com comprovação do Certificado do Inmetro. Na análise da amostra serão avaliados todos os requisitos acima e principalmente quanto à lavação da caneta sobre os tecidos e carga completa dos canetões. Validade mínima do produto de 36 meses da data de fabricação e validade mínima de 30 meses na entrega do produto; </w:t>
            </w:r>
          </w:p>
        </w:tc>
        <w:tc>
          <w:tcPr>
            <w:tcW w:w="136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6.000</w:t>
            </w:r>
          </w:p>
        </w:tc>
        <w:tc>
          <w:tcPr>
            <w:tcW w:w="112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Caixa</w:t>
            </w:r>
          </w:p>
        </w:tc>
        <w:tc>
          <w:tcPr>
            <w:tcW w:w="1140"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25,45</w:t>
            </w:r>
          </w:p>
        </w:tc>
        <w:tc>
          <w:tcPr>
            <w:tcW w:w="1785" w:type="dxa"/>
            <w:tcBorders>
              <w:top w:val="single" w:sz="4" w:space="0" w:color="00000A"/>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152.700,00</w:t>
            </w:r>
          </w:p>
        </w:tc>
      </w:tr>
      <w:tr w:rsidR="009C62BB">
        <w:trPr>
          <w:cantSplit/>
          <w:trHeight w:val="1496"/>
          <w:tblHeader/>
          <w:jc w:val="center"/>
        </w:trPr>
        <w:tc>
          <w:tcPr>
            <w:tcW w:w="67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lastRenderedPageBreak/>
              <w:t>2</w:t>
            </w:r>
          </w:p>
        </w:tc>
        <w:tc>
          <w:tcPr>
            <w:tcW w:w="4425" w:type="dxa"/>
            <w:tcBorders>
              <w:left w:val="single" w:sz="4" w:space="0" w:color="00000A"/>
              <w:bottom w:val="single" w:sz="4" w:space="0" w:color="00000A"/>
            </w:tcBorders>
          </w:tcPr>
          <w:p w:rsidR="009C62BB" w:rsidRDefault="003A3288">
            <w:pPr>
              <w:spacing w:line="276" w:lineRule="auto"/>
              <w:jc w:val="both"/>
            </w:pPr>
            <w:r>
              <w:rPr>
                <w:rFonts w:ascii="Arial" w:eastAsia="Arial" w:hAnsi="Arial" w:cs="Arial"/>
                <w:b/>
                <w:sz w:val="20"/>
                <w:szCs w:val="20"/>
              </w:rPr>
              <w:t>71675 – Canetinha hidrocor, caixa com 12 diferentes cores</w:t>
            </w:r>
            <w:r>
              <w:rPr>
                <w:rFonts w:ascii="Arial" w:eastAsia="Arial" w:hAnsi="Arial" w:cs="Arial"/>
                <w:sz w:val="20"/>
                <w:szCs w:val="20"/>
              </w:rPr>
              <w:t xml:space="preserve"> ponta de fibra indestrutível tipo vai e vem com corpo injetado em poliestireno nas cores da tinta; marca do fabricante impressa na embalagem e no produto; tampa de proteção da ponta com sistema de ventilação “antiasfixiante” desobstruido; tampinha superior em poliestireno soldada no corpo por ultrassom; tinta atóxica a base de água; lavável sobre tecidos e outras superfícies; comprimento mínimo de cada caneta: 14cm e com no mínimo 8mm de diâmetro. Será observado se a carga das canetinhas estão completas. Deverá estar regulamentado de acordo com a NBR 15236:2005 – Segurança de Artigos Escolares, com comprovação do Certificado do Inmetro. Validade mínima do produto de 36 meses da data de fabricação e validade mínima de 30 meses na entrega do produto; </w:t>
            </w:r>
          </w:p>
          <w:p w:rsidR="009C62BB" w:rsidRDefault="009C62BB">
            <w:pPr>
              <w:spacing w:line="276" w:lineRule="auto"/>
              <w:jc w:val="both"/>
              <w:rPr>
                <w:rFonts w:ascii="Arial" w:eastAsia="Arial" w:hAnsi="Arial" w:cs="Arial"/>
                <w:sz w:val="20"/>
                <w:szCs w:val="20"/>
              </w:rPr>
            </w:pPr>
          </w:p>
        </w:tc>
        <w:tc>
          <w:tcPr>
            <w:tcW w:w="136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30.000</w:t>
            </w:r>
          </w:p>
        </w:tc>
        <w:tc>
          <w:tcPr>
            <w:tcW w:w="112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Caixa</w:t>
            </w:r>
          </w:p>
        </w:tc>
        <w:tc>
          <w:tcPr>
            <w:tcW w:w="1140"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18,05</w:t>
            </w:r>
          </w:p>
        </w:tc>
        <w:tc>
          <w:tcPr>
            <w:tcW w:w="178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541.500,00</w:t>
            </w:r>
          </w:p>
        </w:tc>
      </w:tr>
      <w:tr w:rsidR="009C62BB">
        <w:trPr>
          <w:cantSplit/>
          <w:trHeight w:val="1496"/>
          <w:tblHeader/>
          <w:jc w:val="center"/>
        </w:trPr>
        <w:tc>
          <w:tcPr>
            <w:tcW w:w="67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3</w:t>
            </w:r>
          </w:p>
        </w:tc>
        <w:tc>
          <w:tcPr>
            <w:tcW w:w="4425" w:type="dxa"/>
            <w:tcBorders>
              <w:left w:val="single" w:sz="4" w:space="0" w:color="00000A"/>
              <w:bottom w:val="single" w:sz="4" w:space="0" w:color="00000A"/>
            </w:tcBorders>
          </w:tcPr>
          <w:p w:rsidR="009C62BB" w:rsidRDefault="003A3288" w:rsidP="004415AE">
            <w:pPr>
              <w:spacing w:line="276" w:lineRule="auto"/>
              <w:jc w:val="both"/>
            </w:pPr>
            <w:r>
              <w:rPr>
                <w:rFonts w:ascii="Arial" w:eastAsia="Arial" w:hAnsi="Arial" w:cs="Arial"/>
                <w:b/>
                <w:sz w:val="20"/>
                <w:szCs w:val="20"/>
              </w:rPr>
              <w:t>64922 – Giz de cera triangular</w:t>
            </w:r>
            <w:r>
              <w:rPr>
                <w:rFonts w:ascii="Arial" w:eastAsia="Arial" w:hAnsi="Arial" w:cs="Arial"/>
                <w:sz w:val="20"/>
                <w:szCs w:val="20"/>
              </w:rPr>
              <w:t xml:space="preserve">, </w:t>
            </w:r>
            <w:r>
              <w:rPr>
                <w:rFonts w:ascii="Arial" w:eastAsia="Arial" w:hAnsi="Arial" w:cs="Arial"/>
                <w:b/>
                <w:sz w:val="20"/>
                <w:szCs w:val="20"/>
              </w:rPr>
              <w:t>caixa com 12 cores diferentes</w:t>
            </w:r>
            <w:r>
              <w:rPr>
                <w:rFonts w:ascii="Arial" w:eastAsia="Arial" w:hAnsi="Arial" w:cs="Arial"/>
                <w:sz w:val="20"/>
                <w:szCs w:val="20"/>
              </w:rPr>
              <w:t>, com aproximadamente 11mm de espessura x 105mm comprimento. Composição: base de ceras, cargas, minerais inertes e pigmentos, componentes totalmente atóxicos, não perecíveis, formato anatômico para crianças, matérias primas de alta qualidade, não esfarela, não mancha as mãos, fórmula resistente à quebra, ideal para uso escolar, cores vivas que facilitam sua identificação. O giz de cera deverá estar regulamentado de acordo com a NBR 15236:2005 – Segurança de Artigos Escolares, com comprovação do Certificado do Inmetro.</w:t>
            </w:r>
          </w:p>
        </w:tc>
        <w:tc>
          <w:tcPr>
            <w:tcW w:w="136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40.000</w:t>
            </w:r>
          </w:p>
        </w:tc>
        <w:tc>
          <w:tcPr>
            <w:tcW w:w="112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Caixa</w:t>
            </w:r>
          </w:p>
        </w:tc>
        <w:tc>
          <w:tcPr>
            <w:tcW w:w="1140"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8,24</w:t>
            </w:r>
          </w:p>
        </w:tc>
        <w:tc>
          <w:tcPr>
            <w:tcW w:w="178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329.600,00</w:t>
            </w:r>
          </w:p>
        </w:tc>
      </w:tr>
      <w:tr w:rsidR="009C62BB">
        <w:trPr>
          <w:cantSplit/>
          <w:trHeight w:val="1365"/>
          <w:tblHeader/>
          <w:jc w:val="center"/>
        </w:trPr>
        <w:tc>
          <w:tcPr>
            <w:tcW w:w="67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4</w:t>
            </w:r>
          </w:p>
        </w:tc>
        <w:tc>
          <w:tcPr>
            <w:tcW w:w="4425" w:type="dxa"/>
            <w:tcBorders>
              <w:left w:val="single" w:sz="4" w:space="0" w:color="00000A"/>
              <w:bottom w:val="single" w:sz="4" w:space="0" w:color="00000A"/>
            </w:tcBorders>
          </w:tcPr>
          <w:p w:rsidR="009C62BB" w:rsidRDefault="003A3288">
            <w:pPr>
              <w:spacing w:line="276" w:lineRule="auto"/>
              <w:jc w:val="both"/>
              <w:rPr>
                <w:rFonts w:ascii="Arial" w:eastAsia="Arial" w:hAnsi="Arial" w:cs="Arial"/>
                <w:sz w:val="20"/>
                <w:szCs w:val="20"/>
              </w:rPr>
            </w:pPr>
            <w:r>
              <w:rPr>
                <w:rFonts w:ascii="Arial" w:eastAsia="Arial" w:hAnsi="Arial" w:cs="Arial"/>
                <w:b/>
                <w:sz w:val="20"/>
                <w:szCs w:val="20"/>
              </w:rPr>
              <w:t xml:space="preserve">92945 – Giz de cera jumbo, caixa com 6 cores </w:t>
            </w:r>
            <w:r>
              <w:rPr>
                <w:rFonts w:ascii="Arial" w:eastAsia="Arial" w:hAnsi="Arial" w:cs="Arial"/>
                <w:sz w:val="20"/>
                <w:szCs w:val="20"/>
              </w:rPr>
              <w:t>dimensões aproximadas do giz 2,0 cm (diâmetro) e 7,0 (comprimento). Composição: base de ceras, cargas, minerais inertes e pigmentos, componentes totalmente atóxicos, não perecíveis, formato anatômico para crianças, matérias primas de alta qualidade, não esfarela, não mancha as mãos, fórmula resistente à quebra, ideal para uso escolar. Nas cores: preto, verde, amarelo, azul, laranja, vermelho. Deverá estar regulamentado de acordo com a NBR 15236:2005 – Segurança de Artigos Escolares, com comprovação do Certificado do Inmetro.</w:t>
            </w:r>
          </w:p>
          <w:p w:rsidR="009C62BB" w:rsidRDefault="009C62BB">
            <w:pPr>
              <w:spacing w:line="276" w:lineRule="auto"/>
              <w:jc w:val="both"/>
            </w:pPr>
          </w:p>
        </w:tc>
        <w:tc>
          <w:tcPr>
            <w:tcW w:w="136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8.000</w:t>
            </w:r>
          </w:p>
        </w:tc>
        <w:tc>
          <w:tcPr>
            <w:tcW w:w="112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Caixa</w:t>
            </w:r>
          </w:p>
        </w:tc>
        <w:tc>
          <w:tcPr>
            <w:tcW w:w="1140" w:type="dxa"/>
            <w:tcBorders>
              <w:left w:val="single" w:sz="4" w:space="0" w:color="00000A"/>
              <w:bottom w:val="single" w:sz="4" w:space="0" w:color="00000A"/>
              <w:right w:val="single" w:sz="4" w:space="0" w:color="00000A"/>
            </w:tcBorders>
          </w:tcPr>
          <w:p w:rsidR="009C62BB" w:rsidRDefault="004415AE">
            <w:pPr>
              <w:jc w:val="center"/>
              <w:rPr>
                <w:rFonts w:ascii="Arial" w:eastAsia="Arial" w:hAnsi="Arial" w:cs="Arial"/>
                <w:sz w:val="20"/>
                <w:szCs w:val="20"/>
              </w:rPr>
            </w:pPr>
            <w:r>
              <w:rPr>
                <w:rFonts w:ascii="Arial" w:eastAsia="Arial" w:hAnsi="Arial" w:cs="Arial"/>
                <w:sz w:val="20"/>
                <w:szCs w:val="20"/>
              </w:rPr>
              <w:t>29,31</w:t>
            </w:r>
          </w:p>
        </w:tc>
        <w:tc>
          <w:tcPr>
            <w:tcW w:w="1785" w:type="dxa"/>
            <w:tcBorders>
              <w:left w:val="single" w:sz="4" w:space="0" w:color="00000A"/>
              <w:bottom w:val="single" w:sz="4" w:space="0" w:color="00000A"/>
              <w:right w:val="single" w:sz="4" w:space="0" w:color="00000A"/>
            </w:tcBorders>
          </w:tcPr>
          <w:p w:rsidR="009C62BB" w:rsidRDefault="004415AE">
            <w:pPr>
              <w:jc w:val="center"/>
              <w:rPr>
                <w:rFonts w:ascii="Arial" w:eastAsia="Arial" w:hAnsi="Arial" w:cs="Arial"/>
                <w:sz w:val="20"/>
                <w:szCs w:val="20"/>
              </w:rPr>
            </w:pPr>
            <w:r>
              <w:rPr>
                <w:rFonts w:ascii="Arial" w:eastAsia="Arial" w:hAnsi="Arial" w:cs="Arial"/>
                <w:sz w:val="20"/>
                <w:szCs w:val="20"/>
              </w:rPr>
              <w:t>234.480,00</w:t>
            </w:r>
          </w:p>
        </w:tc>
      </w:tr>
      <w:tr w:rsidR="009C62BB">
        <w:trPr>
          <w:cantSplit/>
          <w:trHeight w:val="1496"/>
          <w:tblHeader/>
          <w:jc w:val="center"/>
        </w:trPr>
        <w:tc>
          <w:tcPr>
            <w:tcW w:w="67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lastRenderedPageBreak/>
              <w:t>5</w:t>
            </w:r>
          </w:p>
        </w:tc>
        <w:tc>
          <w:tcPr>
            <w:tcW w:w="4425" w:type="dxa"/>
            <w:tcBorders>
              <w:left w:val="single" w:sz="4" w:space="0" w:color="00000A"/>
              <w:bottom w:val="single" w:sz="4" w:space="0" w:color="00000A"/>
            </w:tcBorders>
          </w:tcPr>
          <w:p w:rsidR="009C62BB" w:rsidRDefault="003A3288">
            <w:pPr>
              <w:spacing w:line="276" w:lineRule="auto"/>
              <w:jc w:val="both"/>
            </w:pPr>
            <w:r>
              <w:rPr>
                <w:rFonts w:ascii="Arial" w:eastAsia="Arial" w:hAnsi="Arial" w:cs="Arial"/>
                <w:b/>
                <w:sz w:val="20"/>
                <w:szCs w:val="20"/>
              </w:rPr>
              <w:t xml:space="preserve">78932 – Lápis de cor, caixa com 12 cores </w:t>
            </w:r>
            <w:r>
              <w:rPr>
                <w:rFonts w:ascii="Arial" w:eastAsia="Arial" w:hAnsi="Arial" w:cs="Arial"/>
                <w:sz w:val="20"/>
                <w:szCs w:val="20"/>
              </w:rPr>
              <w:t>corpo triangular pintado na cor do grafite, lápis em madeira com o topo indicando a marca do fabricante.Composição do lápis: grafites, cargas inertes, material cerâmico e madeira, com ótima cobertura e qualidade. Deverá ser fabricado em madeira reflorestada. A medida do lápis é 17,5cm mina do grafite de no mínimo 4mm. Os lápis deverão vir acondicionados em caixa de papelão resistentes Na análise da amostra será julgado o poder de transferência da mina do lápis e a facilidade de apontar a madeira do lápis. Será aceito as comprovações do Inmetro de acordo com a embalagem primária do produto. O lápis deverá estar regulamentado de acordo com a NBR 15236:2005 – Segurança de Artigos Escolares, com comprovação do Certificado do Inmetro.</w:t>
            </w:r>
          </w:p>
        </w:tc>
        <w:tc>
          <w:tcPr>
            <w:tcW w:w="136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50.000</w:t>
            </w:r>
          </w:p>
        </w:tc>
        <w:tc>
          <w:tcPr>
            <w:tcW w:w="112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Caixa</w:t>
            </w:r>
          </w:p>
        </w:tc>
        <w:tc>
          <w:tcPr>
            <w:tcW w:w="1140"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19,30</w:t>
            </w:r>
          </w:p>
        </w:tc>
        <w:tc>
          <w:tcPr>
            <w:tcW w:w="178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965.000,00</w:t>
            </w:r>
          </w:p>
        </w:tc>
      </w:tr>
      <w:tr w:rsidR="009C62BB">
        <w:trPr>
          <w:cantSplit/>
          <w:trHeight w:val="510"/>
          <w:tblHeader/>
          <w:jc w:val="center"/>
        </w:trPr>
        <w:tc>
          <w:tcPr>
            <w:tcW w:w="67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t>6</w:t>
            </w:r>
          </w:p>
        </w:tc>
        <w:tc>
          <w:tcPr>
            <w:tcW w:w="4425" w:type="dxa"/>
            <w:tcBorders>
              <w:left w:val="single" w:sz="4" w:space="0" w:color="00000A"/>
              <w:bottom w:val="single" w:sz="4" w:space="0" w:color="00000A"/>
            </w:tcBorders>
          </w:tcPr>
          <w:p w:rsidR="009C62BB" w:rsidRDefault="003A3288">
            <w:pPr>
              <w:spacing w:line="276" w:lineRule="auto"/>
              <w:jc w:val="both"/>
            </w:pPr>
            <w:r>
              <w:rPr>
                <w:rFonts w:ascii="Arial" w:eastAsia="Arial" w:hAnsi="Arial" w:cs="Arial"/>
                <w:b/>
                <w:sz w:val="20"/>
                <w:szCs w:val="20"/>
              </w:rPr>
              <w:t>23877 – Guache</w:t>
            </w:r>
            <w:r>
              <w:rPr>
                <w:rFonts w:ascii="Arial" w:eastAsia="Arial" w:hAnsi="Arial" w:cs="Arial"/>
                <w:sz w:val="20"/>
                <w:szCs w:val="20"/>
              </w:rPr>
              <w:t>,tempera guache 250ml em cores diversas (branco, amarelo, laranja, vermelho, rosa, azul-turquesa, verde-bandeira, marrom, preto entre outras). Todas as cores devem ser vivas e miscíveis entre si, solúvel em água, frascos produzidos com material de alta qualidade “PET” incolor para visualização fiel da cor, tampa em rosca com bico econômico abre e fecha, com no mínimo 250 ml cada frasco, com rótulo do produto individual, descrição da cor e validade. O produto deve ser de ótima cobertura, atóxico, para ser aplicada em papel, papel cartão e cartolina. Na sua composição devem constar os seguintes itens: base de resina, água, pigmentos, carga e conservantes, indicada para crianças a partir de 03 anos de idade. Validade mínima do produto de 36 meses da data de fabricação e validade mínima de 30 meses na entrega do produto. Deverá estar regulamentado de acordo com a NBR 15236:2005 – Segurança de Artigos Escolares, com comprovação do Certificado do Inmetro.</w:t>
            </w:r>
          </w:p>
        </w:tc>
        <w:tc>
          <w:tcPr>
            <w:tcW w:w="136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15.000</w:t>
            </w:r>
          </w:p>
        </w:tc>
        <w:tc>
          <w:tcPr>
            <w:tcW w:w="112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Unitário</w:t>
            </w:r>
          </w:p>
        </w:tc>
        <w:tc>
          <w:tcPr>
            <w:tcW w:w="1140"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8,73</w:t>
            </w:r>
          </w:p>
        </w:tc>
        <w:tc>
          <w:tcPr>
            <w:tcW w:w="178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130.950,00</w:t>
            </w:r>
          </w:p>
        </w:tc>
      </w:tr>
      <w:tr w:rsidR="009C62BB">
        <w:trPr>
          <w:cantSplit/>
          <w:trHeight w:val="730"/>
          <w:tblHeader/>
          <w:jc w:val="center"/>
        </w:trPr>
        <w:tc>
          <w:tcPr>
            <w:tcW w:w="67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b/>
                <w:sz w:val="20"/>
                <w:szCs w:val="20"/>
              </w:rPr>
            </w:pPr>
            <w:r>
              <w:rPr>
                <w:rFonts w:ascii="Arial" w:eastAsia="Arial" w:hAnsi="Arial" w:cs="Arial"/>
                <w:b/>
                <w:sz w:val="20"/>
                <w:szCs w:val="20"/>
              </w:rPr>
              <w:lastRenderedPageBreak/>
              <w:t>7</w:t>
            </w:r>
          </w:p>
        </w:tc>
        <w:tc>
          <w:tcPr>
            <w:tcW w:w="4425" w:type="dxa"/>
            <w:tcBorders>
              <w:left w:val="single" w:sz="4" w:space="0" w:color="00000A"/>
              <w:bottom w:val="single" w:sz="4" w:space="0" w:color="00000A"/>
            </w:tcBorders>
          </w:tcPr>
          <w:p w:rsidR="009C62BB" w:rsidRDefault="003A3288">
            <w:pPr>
              <w:spacing w:line="276" w:lineRule="auto"/>
              <w:jc w:val="both"/>
            </w:pPr>
            <w:r>
              <w:rPr>
                <w:rFonts w:ascii="Arial" w:eastAsia="Arial" w:hAnsi="Arial" w:cs="Arial"/>
                <w:b/>
                <w:sz w:val="20"/>
                <w:szCs w:val="20"/>
              </w:rPr>
              <w:t>23878 – Massa de modelar</w:t>
            </w:r>
            <w:r>
              <w:rPr>
                <w:rFonts w:ascii="Arial" w:eastAsia="Arial" w:hAnsi="Arial" w:cs="Arial"/>
                <w:sz w:val="20"/>
                <w:szCs w:val="20"/>
              </w:rPr>
              <w:t xml:space="preserve">, em pote de plástico com tampa em cor única de 500g, em cores diversas (branco, amarelo, vermelho, rosa, azul, verde, marrom, entre outras). Na sua composição devem constar os seguintes itens: base de carboidratos de cereais, água, glúten, cloreto de sódio, aroma, aditivos e pigmentos. Massa com textura supermacia, excelente consistência, cores vivas e miscíveis, que não esfarela, produto atóxico, não mancha as mãos, pode ser reaproveitado, indicada para crianças a partir de 03 anos de idade com validade de 24 meses da data de fabricação e validade mínima de 18 meses na entrega do produto; </w:t>
            </w:r>
          </w:p>
          <w:p w:rsidR="009C62BB" w:rsidRDefault="003A3288">
            <w:pPr>
              <w:spacing w:line="276" w:lineRule="auto"/>
              <w:jc w:val="both"/>
            </w:pPr>
            <w:r>
              <w:rPr>
                <w:rFonts w:ascii="Arial" w:eastAsia="Arial" w:hAnsi="Arial" w:cs="Arial"/>
                <w:sz w:val="20"/>
                <w:szCs w:val="20"/>
              </w:rPr>
              <w:t>Deverá estar regulamentado de acordo com a NBR 15236:2005 – Segurança de Artigos Escolares, com comprovação do Certificado do Inmetro.</w:t>
            </w:r>
          </w:p>
        </w:tc>
        <w:tc>
          <w:tcPr>
            <w:tcW w:w="136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20.000</w:t>
            </w:r>
          </w:p>
        </w:tc>
        <w:tc>
          <w:tcPr>
            <w:tcW w:w="112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Unitário</w:t>
            </w:r>
          </w:p>
        </w:tc>
        <w:tc>
          <w:tcPr>
            <w:tcW w:w="1140"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18,01</w:t>
            </w:r>
          </w:p>
        </w:tc>
        <w:tc>
          <w:tcPr>
            <w:tcW w:w="1785" w:type="dxa"/>
            <w:tcBorders>
              <w:left w:val="single" w:sz="4" w:space="0" w:color="00000A"/>
              <w:bottom w:val="single" w:sz="4" w:space="0" w:color="00000A"/>
              <w:right w:val="single" w:sz="4" w:space="0" w:color="00000A"/>
            </w:tcBorders>
          </w:tcPr>
          <w:p w:rsidR="009C62BB" w:rsidRDefault="003A3288">
            <w:pPr>
              <w:jc w:val="center"/>
              <w:rPr>
                <w:rFonts w:ascii="Arial" w:eastAsia="Arial" w:hAnsi="Arial" w:cs="Arial"/>
                <w:sz w:val="20"/>
                <w:szCs w:val="20"/>
              </w:rPr>
            </w:pPr>
            <w:r>
              <w:rPr>
                <w:rFonts w:ascii="Arial" w:eastAsia="Arial" w:hAnsi="Arial" w:cs="Arial"/>
                <w:sz w:val="20"/>
                <w:szCs w:val="20"/>
              </w:rPr>
              <w:t>360.200,00</w:t>
            </w:r>
          </w:p>
        </w:tc>
      </w:tr>
      <w:tr w:rsidR="009C62BB">
        <w:trPr>
          <w:cantSplit/>
          <w:trHeight w:val="451"/>
          <w:tblHeader/>
          <w:jc w:val="center"/>
        </w:trPr>
        <w:tc>
          <w:tcPr>
            <w:tcW w:w="8730" w:type="dxa"/>
            <w:gridSpan w:val="5"/>
            <w:tcBorders>
              <w:left w:val="single" w:sz="4" w:space="0" w:color="00000A"/>
              <w:bottom w:val="single" w:sz="4" w:space="0" w:color="00000A"/>
              <w:right w:val="single" w:sz="4" w:space="0" w:color="00000A"/>
            </w:tcBorders>
          </w:tcPr>
          <w:p w:rsidR="009C62BB" w:rsidRDefault="003A3288">
            <w:pPr>
              <w:jc w:val="right"/>
              <w:rPr>
                <w:rFonts w:ascii="Arial" w:eastAsia="Arial" w:hAnsi="Arial" w:cs="Arial"/>
                <w:b/>
                <w:sz w:val="20"/>
                <w:szCs w:val="20"/>
              </w:rPr>
            </w:pPr>
            <w:r>
              <w:rPr>
                <w:rFonts w:ascii="Arial" w:eastAsia="Arial" w:hAnsi="Arial" w:cs="Arial"/>
                <w:b/>
                <w:sz w:val="20"/>
                <w:szCs w:val="20"/>
              </w:rPr>
              <w:t>Total</w:t>
            </w:r>
          </w:p>
        </w:tc>
        <w:tc>
          <w:tcPr>
            <w:tcW w:w="1785" w:type="dxa"/>
            <w:tcBorders>
              <w:left w:val="single" w:sz="4" w:space="0" w:color="00000A"/>
              <w:bottom w:val="single" w:sz="4" w:space="0" w:color="00000A"/>
              <w:right w:val="single" w:sz="4" w:space="0" w:color="00000A"/>
            </w:tcBorders>
          </w:tcPr>
          <w:p w:rsidR="009C62BB" w:rsidRDefault="003A3288" w:rsidP="004415AE">
            <w:pPr>
              <w:jc w:val="center"/>
              <w:rPr>
                <w:rFonts w:ascii="Arial" w:eastAsia="Arial" w:hAnsi="Arial" w:cs="Arial"/>
                <w:b/>
                <w:sz w:val="20"/>
                <w:szCs w:val="20"/>
              </w:rPr>
            </w:pPr>
            <w:r>
              <w:rPr>
                <w:rFonts w:ascii="Arial" w:eastAsia="Arial" w:hAnsi="Arial" w:cs="Arial"/>
                <w:b/>
                <w:sz w:val="20"/>
                <w:szCs w:val="20"/>
              </w:rPr>
              <w:t>R$ 2.</w:t>
            </w:r>
            <w:r w:rsidR="004415AE">
              <w:rPr>
                <w:rFonts w:ascii="Arial" w:eastAsia="Arial" w:hAnsi="Arial" w:cs="Arial"/>
                <w:b/>
                <w:sz w:val="20"/>
                <w:szCs w:val="20"/>
              </w:rPr>
              <w:t>714.430</w:t>
            </w:r>
            <w:r>
              <w:rPr>
                <w:rFonts w:ascii="Arial" w:eastAsia="Arial" w:hAnsi="Arial" w:cs="Arial"/>
                <w:b/>
                <w:sz w:val="20"/>
                <w:szCs w:val="20"/>
              </w:rPr>
              <w:t>,00</w:t>
            </w:r>
          </w:p>
        </w:tc>
      </w:tr>
    </w:tbl>
    <w:p w:rsidR="009C62BB" w:rsidRDefault="009C62BB">
      <w:pPr>
        <w:spacing w:line="360" w:lineRule="auto"/>
        <w:jc w:val="both"/>
        <w:rPr>
          <w:rFonts w:ascii="Arial" w:eastAsia="Arial" w:hAnsi="Arial" w:cs="Arial"/>
          <w:sz w:val="20"/>
          <w:szCs w:val="20"/>
        </w:rPr>
      </w:pPr>
    </w:p>
    <w:p w:rsidR="009C62BB" w:rsidRDefault="003A3288">
      <w:pPr>
        <w:spacing w:line="360" w:lineRule="auto"/>
        <w:jc w:val="both"/>
      </w:pPr>
      <w:r>
        <w:rPr>
          <w:rFonts w:ascii="Arial" w:eastAsia="Arial" w:hAnsi="Arial" w:cs="Arial"/>
          <w:b/>
          <w:sz w:val="20"/>
          <w:szCs w:val="20"/>
        </w:rPr>
        <w:t xml:space="preserve">Nota: </w:t>
      </w:r>
      <w:r>
        <w:rPr>
          <w:rFonts w:ascii="Arial" w:eastAsia="Arial" w:hAnsi="Arial" w:cs="Arial"/>
          <w:sz w:val="20"/>
          <w:szCs w:val="20"/>
        </w:rPr>
        <w:t>Os materiais escolares deverão obedecer ao que estabelece a descrição acima, com variação de medidas até um limite de 5% (cinco por cento) para cima ou para baixo.</w:t>
      </w:r>
    </w:p>
    <w:p w:rsidR="009C62BB" w:rsidRDefault="009C62BB">
      <w:pPr>
        <w:spacing w:line="360" w:lineRule="auto"/>
        <w:jc w:val="both"/>
        <w:rPr>
          <w:rFonts w:ascii="Arial" w:eastAsia="Arial" w:hAnsi="Arial" w:cs="Arial"/>
          <w:b/>
          <w:color w:val="00000A"/>
          <w:sz w:val="20"/>
          <w:szCs w:val="20"/>
        </w:rPr>
      </w:pPr>
    </w:p>
    <w:p w:rsidR="009C62BB" w:rsidRDefault="003A3288">
      <w:pPr>
        <w:widowControl/>
        <w:numPr>
          <w:ilvl w:val="0"/>
          <w:numId w:val="2"/>
        </w:numPr>
        <w:pBdr>
          <w:top w:val="nil"/>
          <w:left w:val="nil"/>
          <w:bottom w:val="nil"/>
          <w:right w:val="nil"/>
          <w:between w:val="nil"/>
        </w:pBd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AMOSTRAS</w:t>
      </w:r>
    </w:p>
    <w:p w:rsidR="009C62BB" w:rsidRDefault="003A3288">
      <w:pPr>
        <w:widowControl/>
        <w:numPr>
          <w:ilvl w:val="1"/>
          <w:numId w:val="2"/>
        </w:numPr>
        <w:pBdr>
          <w:top w:val="nil"/>
          <w:left w:val="nil"/>
          <w:bottom w:val="nil"/>
          <w:right w:val="nil"/>
          <w:between w:val="nil"/>
        </w:pBdr>
        <w:spacing w:line="360" w:lineRule="auto"/>
        <w:ind w:left="0" w:firstLine="0"/>
        <w:jc w:val="both"/>
      </w:pPr>
      <w:r>
        <w:rPr>
          <w:rFonts w:ascii="Arial" w:eastAsia="Arial" w:hAnsi="Arial" w:cs="Arial"/>
          <w:color w:val="00000A"/>
          <w:sz w:val="20"/>
          <w:szCs w:val="20"/>
        </w:rPr>
        <w:t xml:space="preserve">Serão exigidas amostras de </w:t>
      </w:r>
      <w:r>
        <w:rPr>
          <w:rFonts w:ascii="Arial" w:eastAsia="Arial" w:hAnsi="Arial" w:cs="Arial"/>
          <w:color w:val="00000A"/>
          <w:sz w:val="20"/>
          <w:szCs w:val="20"/>
          <w:u w:val="single"/>
        </w:rPr>
        <w:t>todos os itens</w:t>
      </w:r>
      <w:r>
        <w:rPr>
          <w:rFonts w:ascii="Arial" w:eastAsia="Arial" w:hAnsi="Arial" w:cs="Arial"/>
          <w:color w:val="00000A"/>
          <w:sz w:val="20"/>
          <w:szCs w:val="20"/>
        </w:rPr>
        <w:t>. Para melhor andamento e análise do processo;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A"/>
          <w:sz w:val="20"/>
          <w:szCs w:val="20"/>
        </w:rPr>
      </w:pPr>
      <w:r>
        <w:rPr>
          <w:rFonts w:ascii="Arial" w:eastAsia="Arial" w:hAnsi="Arial" w:cs="Arial"/>
          <w:color w:val="00000A"/>
          <w:sz w:val="20"/>
          <w:szCs w:val="20"/>
        </w:rPr>
        <w:t>As amostras serão examinadas pela Comissão de Avaliação de Amostras, composta por servidores da Secretaria Municipal de Educação;</w:t>
      </w:r>
    </w:p>
    <w:p w:rsidR="009C62BB" w:rsidRDefault="003A3288">
      <w:pPr>
        <w:widowControl/>
        <w:numPr>
          <w:ilvl w:val="1"/>
          <w:numId w:val="2"/>
        </w:numPr>
        <w:pBdr>
          <w:top w:val="nil"/>
          <w:left w:val="nil"/>
          <w:bottom w:val="nil"/>
          <w:right w:val="nil"/>
          <w:between w:val="nil"/>
        </w:pBdr>
        <w:spacing w:line="360" w:lineRule="auto"/>
        <w:ind w:left="0" w:firstLine="0"/>
        <w:jc w:val="both"/>
      </w:pPr>
      <w:r>
        <w:rPr>
          <w:rFonts w:ascii="Arial" w:eastAsia="Arial" w:hAnsi="Arial" w:cs="Arial"/>
          <w:color w:val="00000A"/>
          <w:sz w:val="20"/>
          <w:szCs w:val="20"/>
        </w:rPr>
        <w:t>As amostras devem ser apresentadas no prazo de 5 (cinco) dias úteis após a fase de lances do presente processo, na Secretaria Municipal de Educação, aos cuidados da Diretoria de Assistência ao Educando, localizada na Avenida Vereador Abrahão João Francisco, n. 3855, CEP 88.307-302, Itajaí/SC. Telefone: (47) 3249.3331;</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A"/>
          <w:sz w:val="20"/>
          <w:szCs w:val="20"/>
        </w:rPr>
      </w:pPr>
      <w:r>
        <w:rPr>
          <w:rFonts w:ascii="Arial" w:eastAsia="Arial" w:hAnsi="Arial" w:cs="Arial"/>
          <w:color w:val="00000A"/>
          <w:sz w:val="20"/>
          <w:szCs w:val="20"/>
        </w:rPr>
        <w:t>As amostras deverão estar identificadas com o número do processo, nome da empresa, CNPJ e o item correspondente. Não serão aceitas amostras sem esses dados de identificação;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Caso a Contratada não entregue as amostras no prazo estabelecido, a sua proposta comercial será automaticamente desclassificada;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A"/>
          <w:sz w:val="20"/>
          <w:szCs w:val="20"/>
        </w:rPr>
      </w:pPr>
      <w:r>
        <w:rPr>
          <w:rFonts w:ascii="Arial" w:eastAsia="Arial" w:hAnsi="Arial" w:cs="Arial"/>
          <w:color w:val="00000A"/>
          <w:sz w:val="20"/>
          <w:szCs w:val="20"/>
        </w:rPr>
        <w:t>Serão consideradas desclassificadas as amostras que não atenderem rigorosamente aos padrões técnicos exigidos neste Termo de Referência;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Caso alguma amostra apresentada pela empresa vencedora seja reprovada, independentemente do motivo apurado, não será admitida nova análise em outros produtos, em substituição ao produto reprovado;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A"/>
          <w:sz w:val="20"/>
          <w:szCs w:val="20"/>
        </w:rPr>
      </w:pPr>
      <w:r>
        <w:rPr>
          <w:rFonts w:ascii="Arial" w:eastAsia="Arial" w:hAnsi="Arial" w:cs="Arial"/>
          <w:color w:val="00000A"/>
          <w:sz w:val="20"/>
          <w:szCs w:val="20"/>
        </w:rPr>
        <w:t>A avaliação de amostras será de caráter eliminatório;</w:t>
      </w:r>
    </w:p>
    <w:p w:rsidR="009C62BB" w:rsidRDefault="003A3288">
      <w:pPr>
        <w:widowControl/>
        <w:numPr>
          <w:ilvl w:val="1"/>
          <w:numId w:val="2"/>
        </w:numPr>
        <w:pBdr>
          <w:top w:val="nil"/>
          <w:left w:val="nil"/>
          <w:bottom w:val="nil"/>
          <w:right w:val="nil"/>
          <w:between w:val="nil"/>
        </w:pBdr>
        <w:spacing w:line="360" w:lineRule="auto"/>
        <w:ind w:left="0" w:firstLine="0"/>
        <w:jc w:val="both"/>
      </w:pPr>
      <w:r>
        <w:rPr>
          <w:rFonts w:ascii="Arial" w:eastAsia="Arial" w:hAnsi="Arial" w:cs="Arial"/>
          <w:color w:val="00000A"/>
          <w:sz w:val="20"/>
          <w:szCs w:val="20"/>
        </w:rPr>
        <w:t>Não serão aceitas amostras por e-mail ou panfletos. Serão aceitos somente amostras físicas. As amostras deverão seguir rigorosamente o descritivo;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A"/>
          <w:sz w:val="20"/>
          <w:szCs w:val="20"/>
        </w:rPr>
      </w:pPr>
      <w:r>
        <w:rPr>
          <w:rFonts w:ascii="Arial" w:eastAsia="Arial" w:hAnsi="Arial" w:cs="Arial"/>
          <w:color w:val="00000A"/>
          <w:sz w:val="20"/>
          <w:szCs w:val="20"/>
        </w:rPr>
        <w:t>As amostras classificadas ficarão sob a responsabilidade da Gerência do Almoxarifado até a primeira entrega do material para a devida averiguação se é o mesmo material aprovado;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A"/>
          <w:sz w:val="20"/>
          <w:szCs w:val="20"/>
        </w:rPr>
      </w:pPr>
      <w:r>
        <w:rPr>
          <w:rFonts w:ascii="Arial" w:eastAsia="Arial" w:hAnsi="Arial" w:cs="Arial"/>
          <w:color w:val="00000A"/>
          <w:sz w:val="20"/>
          <w:szCs w:val="20"/>
        </w:rPr>
        <w:lastRenderedPageBreak/>
        <w:t>As amostras reprovadas deverão ser retiradas pelas licitantes da secretaria de educação em até 5 (cinco) dias úteis após o resultado da avaliação de amostras ter sido enviada as empresas pelo pregoeiro. Após essa data, as amostras reprovadas serão descartadas, sem qualquer responsabilidade dessa secretaria posteriormente.</w:t>
      </w:r>
    </w:p>
    <w:p w:rsidR="009C62BB" w:rsidRDefault="009C62BB">
      <w:pPr>
        <w:widowControl/>
        <w:pBdr>
          <w:top w:val="nil"/>
          <w:left w:val="nil"/>
          <w:bottom w:val="nil"/>
          <w:right w:val="nil"/>
          <w:between w:val="nil"/>
        </w:pBdr>
        <w:spacing w:line="360" w:lineRule="auto"/>
        <w:jc w:val="both"/>
        <w:rPr>
          <w:rFonts w:ascii="Arial" w:eastAsia="Arial" w:hAnsi="Arial" w:cs="Arial"/>
          <w:b/>
          <w:color w:val="00000A"/>
          <w:sz w:val="20"/>
          <w:szCs w:val="20"/>
        </w:rPr>
      </w:pPr>
    </w:p>
    <w:p w:rsidR="009C62BB" w:rsidRDefault="003A3288">
      <w:pPr>
        <w:widowControl/>
        <w:numPr>
          <w:ilvl w:val="0"/>
          <w:numId w:val="2"/>
        </w:numPr>
        <w:pBdr>
          <w:top w:val="nil"/>
          <w:left w:val="nil"/>
          <w:bottom w:val="nil"/>
          <w:right w:val="nil"/>
          <w:between w:val="nil"/>
        </w:pBd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RESPONSABILIDADES DA CONTRATADA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No caso da empresa vencedora contratar um prestador de serviços para a entrega dos produtos, será imprescindível que este tenha em seu poder, cópia dos procedimentos normativos deste Termo de Referência;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Os Materiais fornecidos deverão estar rigorosamente em conformidade com as especificações deste Termo de Referência;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Assumir inteira e total responsabilidade por todos os custos/despesas referentes aos produtos fornecidos, incluindo todo e qualquer tributo, bem como todas as eventuais obrigações/encargos e custos adicionais de transporte;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Realizar a entrega com eficiência e presteza, observando o padrão de qualidade dos produtos;</w:t>
      </w:r>
    </w:p>
    <w:p w:rsidR="009C62BB" w:rsidRDefault="003A3288">
      <w:pPr>
        <w:widowControl/>
        <w:numPr>
          <w:ilvl w:val="1"/>
          <w:numId w:val="2"/>
        </w:numPr>
        <w:pBdr>
          <w:top w:val="nil"/>
          <w:left w:val="nil"/>
          <w:bottom w:val="nil"/>
          <w:right w:val="nil"/>
          <w:between w:val="nil"/>
        </w:pBdr>
        <w:spacing w:line="360" w:lineRule="auto"/>
        <w:ind w:left="0" w:firstLine="0"/>
        <w:jc w:val="both"/>
      </w:pPr>
      <w:r>
        <w:rPr>
          <w:rFonts w:ascii="Arial" w:eastAsia="Arial" w:hAnsi="Arial" w:cs="Arial"/>
          <w:color w:val="000000"/>
          <w:sz w:val="20"/>
          <w:szCs w:val="20"/>
        </w:rPr>
        <w:t>Os produtos deverão estar em conformidade com as normas de qualidade exigidas na Legislação pertinente a cada produto, e quando citado no descritivo, comprovar na entrega das amostras os aferimentos e documentação, por meio de documento do órgão – INMETRO, emitida por entidade competente;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Providenciar a imediata substituição dos produtos que apresente(m) vício(s) de qualidade ou condição que o(s) torne(m) impróprio(s) ou inadequado(s) ao uso a que se destina(m) ou lhe(s) diminua(m) a qualidade e, consequentemente, o seu valor, por outro(s) produto(s) da mesma espécie, em perfeitas condições de uso;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Responder, em relação aos seus empregados, por todas as despesas decorrentes da execução dos serviços, tais como salários, seguros de acidente, taxas, impostos e contribuições, indenizações, vale-refeição, vale-transporte e outras que porventura venham a ser criadas e exigidas legalmente;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Responder pelos danos causados diretamente à Contratante ou a terceiros, decorrentes de sua culpa ou dolo, quando da execução dos serviços, não excluindo ou reduzindo essa responsabilidade a fiscalização ou o acompanhamento pela Contratante;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Comunicar a Contratante, por escrito, qualquer anormalidade de caráter urgente e prestar os esclarecimentos julgados necessários;</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Manter a compatibilidade com as obrigações a serem assumidas, todas as condições de habilitação e qualificação exigidas neste Termo de Referência;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Assumir a responsabilidade por todos os encargos previdenciários e obrigações sociais previstos na legislação social e trabalhista em vigência, obrigando-se a saldá-los na época própria, vez que os seus empregados não manterão nenhum vínculo empregatício com a Contratante;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Assumir, também, a responsabilidade por todas as providências e obrigações estabelecidas na legislação específica de acidentes de trabalho, quando, em ocorrência da espécie, forem vítimas os seus empregados quando da prestação dos serviços ou em conexão com ela, ainda que acontecido nas dependências da Contratante;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Assumir todas as responsabilidades civil ou penal, relacionadas à prestação dos serviços, originariamente ou vinculada por prevenção, conexão ou contingência;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lastRenderedPageBreak/>
        <w:t>A inadimplência da Contratada, com referência aos encargos estabelecidos nas condições anteriores, não transfere a responsabilidade por seu pagamento à Contratante, nem poderá onerar o objeto deste Termo de Referência, razão pela qual a Contratada renuncia expressamente a qualquer vínculo de solidariedade, ativa ou passiva, com a Contratante;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Zelar pela perfeita execução dos serviços contratados, devendo as falhas que porventura vierem a ocorrer serem sanadas;</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Reparar os danos que causar à Contratante ou a terceiros, por defeitos decorrentes de projeto, fabricação, construção, montagem, fórmulas, manipulação, apresentação ou acondicionamento de seus produtos, bem como por informações insuficientes ou inadequadas sobre sua utilização e riscos;</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O valor correspondente aos danos ou prejuízos será descontado diretamente da fatura pertinente ao pagamento que for devido à Contratada, independentemente de qualquer procedimento judicial ou extrajudicial;</w:t>
      </w:r>
    </w:p>
    <w:p w:rsidR="009C62BB" w:rsidRDefault="009C62BB">
      <w:pPr>
        <w:widowControl/>
        <w:pBdr>
          <w:top w:val="nil"/>
          <w:left w:val="nil"/>
          <w:bottom w:val="nil"/>
          <w:right w:val="nil"/>
          <w:between w:val="nil"/>
        </w:pBdr>
        <w:spacing w:line="360" w:lineRule="auto"/>
        <w:jc w:val="both"/>
        <w:rPr>
          <w:rFonts w:ascii="Arial" w:eastAsia="Arial" w:hAnsi="Arial" w:cs="Arial"/>
          <w:b/>
          <w:color w:val="FF0000"/>
          <w:sz w:val="20"/>
          <w:szCs w:val="20"/>
        </w:rPr>
      </w:pPr>
    </w:p>
    <w:p w:rsidR="009C62BB" w:rsidRDefault="003A3288">
      <w:pPr>
        <w:widowControl/>
        <w:numPr>
          <w:ilvl w:val="0"/>
          <w:numId w:val="2"/>
        </w:numPr>
        <w:pBdr>
          <w:top w:val="nil"/>
          <w:left w:val="nil"/>
          <w:bottom w:val="nil"/>
          <w:right w:val="nil"/>
          <w:between w:val="nil"/>
        </w:pBd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CONDIÇÕES DE ENTREGA</w:t>
      </w:r>
    </w:p>
    <w:p w:rsidR="009C62BB" w:rsidRDefault="003A3288">
      <w:pPr>
        <w:numPr>
          <w:ilvl w:val="1"/>
          <w:numId w:val="2"/>
        </w:numP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Os Materiais deverão ser entregues no almoxarifado da Central, localizado na BR 101, Nº 7075, Bairro Espinheiros, Itajaí (SC), em plenas condições de embalagens primárias, secundárias e/ou terciárias, sem avarias, até 10 (dez) dias úteis após a emissão de autorização de fornecimento.</w:t>
      </w:r>
    </w:p>
    <w:p w:rsidR="009C62BB" w:rsidRDefault="009C62BB">
      <w:pPr>
        <w:spacing w:line="360" w:lineRule="auto"/>
        <w:jc w:val="both"/>
        <w:rPr>
          <w:rFonts w:ascii="Arial" w:eastAsia="Arial" w:hAnsi="Arial" w:cs="Arial"/>
        </w:rPr>
      </w:pPr>
    </w:p>
    <w:p w:rsidR="009C62BB" w:rsidRDefault="009C62BB">
      <w:pPr>
        <w:widowControl/>
        <w:pBdr>
          <w:top w:val="nil"/>
          <w:left w:val="nil"/>
          <w:bottom w:val="nil"/>
          <w:right w:val="nil"/>
          <w:between w:val="nil"/>
        </w:pBdr>
        <w:spacing w:line="360" w:lineRule="auto"/>
        <w:jc w:val="both"/>
        <w:rPr>
          <w:rFonts w:ascii="Arial" w:eastAsia="Arial" w:hAnsi="Arial" w:cs="Arial"/>
          <w:b/>
          <w:color w:val="000000"/>
          <w:sz w:val="20"/>
          <w:szCs w:val="20"/>
        </w:rPr>
      </w:pPr>
    </w:p>
    <w:p w:rsidR="009C62BB" w:rsidRDefault="003A3288">
      <w:pPr>
        <w:widowControl/>
        <w:numPr>
          <w:ilvl w:val="0"/>
          <w:numId w:val="2"/>
        </w:numPr>
        <w:pBdr>
          <w:top w:val="nil"/>
          <w:left w:val="nil"/>
          <w:bottom w:val="nil"/>
          <w:right w:val="nil"/>
          <w:between w:val="nil"/>
        </w:pBdr>
        <w:spacing w:line="360" w:lineRule="auto"/>
        <w:ind w:left="0" w:firstLine="0"/>
        <w:jc w:val="both"/>
        <w:rPr>
          <w:rFonts w:ascii="Arial" w:eastAsia="Arial" w:hAnsi="Arial" w:cs="Arial"/>
          <w:b/>
          <w:color w:val="00000A"/>
          <w:sz w:val="20"/>
          <w:szCs w:val="20"/>
        </w:rPr>
      </w:pPr>
      <w:r>
        <w:rPr>
          <w:rFonts w:ascii="Arial" w:eastAsia="Arial" w:hAnsi="Arial" w:cs="Arial"/>
          <w:b/>
          <w:color w:val="00000A"/>
          <w:sz w:val="20"/>
          <w:szCs w:val="20"/>
        </w:rPr>
        <w:t>DAS RESPONSABILIDADES DA CONTRATANTE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A fiscalização, execução e a observação dos prazos contratuais serão realizados pela Secretaria Municipal de Educação, por meio da Diretoria de Assistência ao Educando;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Notificar a Contratada, quanto aos defeitos ou irregularidades verificados nos produtos, bem como a qualquer ocorrência relativa ao comportamento de seus funcionários que venha a ser considerado prejudicial ou inconveniente para a Contratante;</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Efetuar o pagamento no prazo e </w:t>
      </w:r>
      <w:r>
        <w:rPr>
          <w:rFonts w:ascii="Arial" w:eastAsia="Arial" w:hAnsi="Arial" w:cs="Arial"/>
          <w:sz w:val="20"/>
          <w:szCs w:val="20"/>
        </w:rPr>
        <w:t>condições</w:t>
      </w:r>
      <w:r>
        <w:rPr>
          <w:rFonts w:ascii="Arial" w:eastAsia="Arial" w:hAnsi="Arial" w:cs="Arial"/>
          <w:color w:val="000000"/>
          <w:sz w:val="20"/>
          <w:szCs w:val="20"/>
        </w:rPr>
        <w:t xml:space="preserve"> estabelecidos no presente Termo de Referência;</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Proporcionar à Contratada todas as condições necessárias ao pleno cumprimento das obrigações decorrentes do contrato a ser firmado;</w:t>
      </w:r>
    </w:p>
    <w:p w:rsidR="009C62BB" w:rsidRDefault="003A3288">
      <w:pPr>
        <w:widowControl/>
        <w:numPr>
          <w:ilvl w:val="1"/>
          <w:numId w:val="2"/>
        </w:numPr>
        <w:pBdr>
          <w:top w:val="nil"/>
          <w:left w:val="nil"/>
          <w:bottom w:val="nil"/>
          <w:right w:val="nil"/>
          <w:between w:val="nil"/>
        </w:pBdr>
        <w:spacing w:line="360" w:lineRule="auto"/>
        <w:ind w:left="0" w:firstLine="0"/>
        <w:jc w:val="both"/>
        <w:rPr>
          <w:rFonts w:ascii="Arial" w:eastAsia="Arial" w:hAnsi="Arial" w:cs="Arial"/>
          <w:color w:val="000000"/>
          <w:sz w:val="20"/>
          <w:szCs w:val="20"/>
        </w:rPr>
      </w:pPr>
      <w:r>
        <w:rPr>
          <w:rFonts w:ascii="Arial" w:eastAsia="Arial" w:hAnsi="Arial" w:cs="Arial"/>
          <w:color w:val="000000"/>
          <w:sz w:val="20"/>
          <w:szCs w:val="20"/>
        </w:rPr>
        <w:t>Verificada a ocorrência de irregularidade no cumprimento do contrato, a Fiscalização tomará as providências legais e contratuais cabíveis, inclusive quanto à aplicação das penalidades previstas no presente contrato e na Lei Federal n° 8.666/93 e alterações posteriores.</w:t>
      </w:r>
    </w:p>
    <w:p w:rsidR="009C62BB" w:rsidRDefault="009C62BB">
      <w:pPr>
        <w:spacing w:line="360" w:lineRule="auto"/>
        <w:rPr>
          <w:rFonts w:ascii="Arial" w:eastAsia="Arial" w:hAnsi="Arial" w:cs="Arial"/>
          <w:color w:val="000000"/>
          <w:sz w:val="20"/>
          <w:szCs w:val="20"/>
        </w:rPr>
      </w:pPr>
    </w:p>
    <w:p w:rsidR="009C62BB" w:rsidRDefault="003A3288">
      <w:pPr>
        <w:ind w:left="-560" w:right="-560"/>
        <w:rPr>
          <w:rFonts w:ascii="Arial" w:eastAsia="Arial" w:hAnsi="Arial" w:cs="Arial"/>
          <w:sz w:val="20"/>
          <w:szCs w:val="20"/>
        </w:rPr>
      </w:pPr>
      <w:r>
        <w:rPr>
          <w:rFonts w:ascii="Arial" w:eastAsia="Arial" w:hAnsi="Arial" w:cs="Arial"/>
          <w:sz w:val="20"/>
          <w:szCs w:val="20"/>
        </w:rPr>
        <w:t xml:space="preserve"> </w:t>
      </w:r>
    </w:p>
    <w:p w:rsidR="009C62BB" w:rsidRDefault="003A3288">
      <w:pPr>
        <w:ind w:left="-560" w:right="-560"/>
        <w:rPr>
          <w:rFonts w:ascii="Arial" w:eastAsia="Arial" w:hAnsi="Arial" w:cs="Arial"/>
          <w:sz w:val="20"/>
          <w:szCs w:val="20"/>
        </w:rPr>
      </w:pPr>
      <w:r>
        <w:rPr>
          <w:rFonts w:ascii="Arial" w:eastAsia="Arial" w:hAnsi="Arial" w:cs="Arial"/>
          <w:sz w:val="20"/>
          <w:szCs w:val="20"/>
        </w:rPr>
        <w:t xml:space="preserve">  </w:t>
      </w:r>
    </w:p>
    <w:p w:rsidR="009C62BB" w:rsidRDefault="003A3288">
      <w:pPr>
        <w:spacing w:before="240" w:after="240"/>
        <w:jc w:val="center"/>
        <w:rPr>
          <w:rFonts w:ascii="Arial" w:eastAsia="Arial" w:hAnsi="Arial" w:cs="Arial"/>
          <w:sz w:val="20"/>
          <w:szCs w:val="20"/>
        </w:rPr>
      </w:pPr>
      <w:r>
        <w:rPr>
          <w:rFonts w:ascii="Arial" w:eastAsia="Arial" w:hAnsi="Arial" w:cs="Arial"/>
          <w:sz w:val="20"/>
          <w:szCs w:val="20"/>
        </w:rPr>
        <w:t xml:space="preserve"> </w:t>
      </w:r>
    </w:p>
    <w:tbl>
      <w:tblPr>
        <w:tblStyle w:val="1"/>
        <w:tblW w:w="9359" w:type="dxa"/>
        <w:tblInd w:w="-100" w:type="dxa"/>
        <w:tblBorders>
          <w:top w:val="nil"/>
          <w:left w:val="nil"/>
          <w:bottom w:val="nil"/>
          <w:right w:val="nil"/>
          <w:insideH w:val="nil"/>
          <w:insideV w:val="nil"/>
        </w:tblBorders>
        <w:tblLayout w:type="fixed"/>
        <w:tblLook w:val="0600"/>
      </w:tblPr>
      <w:tblGrid>
        <w:gridCol w:w="4673"/>
        <w:gridCol w:w="4686"/>
      </w:tblGrid>
      <w:tr w:rsidR="009C62BB">
        <w:trPr>
          <w:cantSplit/>
          <w:trHeight w:val="720"/>
          <w:tblHeader/>
        </w:trPr>
        <w:tc>
          <w:tcPr>
            <w:tcW w:w="4673" w:type="dxa"/>
            <w:tcBorders>
              <w:top w:val="nil"/>
              <w:left w:val="nil"/>
              <w:bottom w:val="nil"/>
              <w:right w:val="nil"/>
            </w:tcBorders>
            <w:tcMar>
              <w:top w:w="0" w:type="dxa"/>
              <w:left w:w="100" w:type="dxa"/>
              <w:bottom w:w="0" w:type="dxa"/>
              <w:right w:w="100" w:type="dxa"/>
            </w:tcMar>
          </w:tcPr>
          <w:p w:rsidR="009C62BB" w:rsidRDefault="003A3288">
            <w:pPr>
              <w:spacing w:before="240" w:after="240"/>
              <w:ind w:left="-100"/>
              <w:jc w:val="center"/>
              <w:rPr>
                <w:rFonts w:ascii="Arial" w:eastAsia="Arial" w:hAnsi="Arial" w:cs="Arial"/>
                <w:b/>
                <w:sz w:val="20"/>
                <w:szCs w:val="20"/>
              </w:rPr>
            </w:pPr>
            <w:r>
              <w:rPr>
                <w:rFonts w:ascii="Arial" w:eastAsia="Arial" w:hAnsi="Arial" w:cs="Arial"/>
                <w:b/>
                <w:sz w:val="20"/>
                <w:szCs w:val="20"/>
              </w:rPr>
              <w:t>Alan Roger Schnaider</w:t>
            </w:r>
          </w:p>
          <w:p w:rsidR="009C62BB" w:rsidRDefault="003A3288">
            <w:pPr>
              <w:spacing w:before="240" w:after="240"/>
              <w:ind w:left="-100"/>
              <w:jc w:val="center"/>
              <w:rPr>
                <w:rFonts w:ascii="Arial" w:eastAsia="Arial" w:hAnsi="Arial" w:cs="Arial"/>
                <w:sz w:val="20"/>
                <w:szCs w:val="20"/>
              </w:rPr>
            </w:pPr>
            <w:r>
              <w:rPr>
                <w:rFonts w:ascii="Arial" w:eastAsia="Arial" w:hAnsi="Arial" w:cs="Arial"/>
                <w:sz w:val="20"/>
                <w:szCs w:val="20"/>
              </w:rPr>
              <w:t>Diretor DAE</w:t>
            </w:r>
          </w:p>
        </w:tc>
        <w:tc>
          <w:tcPr>
            <w:tcW w:w="4686" w:type="dxa"/>
            <w:tcBorders>
              <w:top w:val="nil"/>
              <w:left w:val="nil"/>
              <w:bottom w:val="nil"/>
              <w:right w:val="nil"/>
            </w:tcBorders>
            <w:tcMar>
              <w:top w:w="0" w:type="dxa"/>
              <w:left w:w="100" w:type="dxa"/>
              <w:bottom w:w="0" w:type="dxa"/>
              <w:right w:w="100" w:type="dxa"/>
            </w:tcMar>
          </w:tcPr>
          <w:p w:rsidR="009C62BB" w:rsidRDefault="003A3288">
            <w:pPr>
              <w:spacing w:before="240" w:after="240"/>
              <w:ind w:left="-100"/>
              <w:jc w:val="center"/>
              <w:rPr>
                <w:rFonts w:ascii="Arial" w:eastAsia="Arial" w:hAnsi="Arial" w:cs="Arial"/>
                <w:b/>
                <w:sz w:val="20"/>
                <w:szCs w:val="20"/>
              </w:rPr>
            </w:pPr>
            <w:r>
              <w:rPr>
                <w:rFonts w:ascii="Arial" w:eastAsia="Arial" w:hAnsi="Arial" w:cs="Arial"/>
                <w:b/>
                <w:sz w:val="20"/>
                <w:szCs w:val="20"/>
              </w:rPr>
              <w:t>Profª MSc.Elisete Furtado Cardoso</w:t>
            </w:r>
          </w:p>
          <w:p w:rsidR="009C62BB" w:rsidRDefault="003A3288">
            <w:pPr>
              <w:spacing w:before="240" w:after="240"/>
              <w:ind w:left="-100"/>
              <w:jc w:val="center"/>
              <w:rPr>
                <w:rFonts w:ascii="Arial" w:eastAsia="Arial" w:hAnsi="Arial" w:cs="Arial"/>
                <w:sz w:val="20"/>
                <w:szCs w:val="20"/>
              </w:rPr>
            </w:pPr>
            <w:r>
              <w:rPr>
                <w:rFonts w:ascii="Arial" w:eastAsia="Arial" w:hAnsi="Arial" w:cs="Arial"/>
                <w:sz w:val="20"/>
                <w:szCs w:val="20"/>
              </w:rPr>
              <w:t>Secretária Municipal de Educação</w:t>
            </w:r>
          </w:p>
        </w:tc>
      </w:tr>
    </w:tbl>
    <w:p w:rsidR="009C62BB" w:rsidRDefault="003A3288">
      <w:pPr>
        <w:spacing w:before="240" w:after="240"/>
        <w:rPr>
          <w:rFonts w:ascii="Arial" w:eastAsia="Arial" w:hAnsi="Arial" w:cs="Arial"/>
          <w:sz w:val="20"/>
          <w:szCs w:val="20"/>
        </w:rPr>
      </w:pPr>
      <w:r>
        <w:rPr>
          <w:rFonts w:ascii="Arial" w:eastAsia="Arial" w:hAnsi="Arial" w:cs="Arial"/>
          <w:sz w:val="20"/>
          <w:szCs w:val="20"/>
        </w:rPr>
        <w:t xml:space="preserve"> </w:t>
      </w:r>
    </w:p>
    <w:p w:rsidR="009C62BB" w:rsidRDefault="009C62BB">
      <w:pPr>
        <w:ind w:left="-567" w:right="-568"/>
        <w:rPr>
          <w:rFonts w:ascii="Arial" w:eastAsia="Arial" w:hAnsi="Arial" w:cs="Arial"/>
          <w:sz w:val="20"/>
          <w:szCs w:val="20"/>
        </w:rPr>
      </w:pPr>
    </w:p>
    <w:p w:rsidR="009C62BB" w:rsidRDefault="009C62BB">
      <w:pPr>
        <w:rPr>
          <w:rFonts w:ascii="Arial" w:eastAsia="Arial" w:hAnsi="Arial" w:cs="Arial"/>
          <w:sz w:val="20"/>
          <w:szCs w:val="20"/>
        </w:rPr>
      </w:pPr>
    </w:p>
    <w:sectPr w:rsidR="009C62BB" w:rsidSect="009C62BB">
      <w:footerReference w:type="default" r:id="rId9"/>
      <w:pgSz w:w="11906" w:h="16838"/>
      <w:pgMar w:top="720" w:right="1151" w:bottom="1148" w:left="1395" w:header="0" w:footer="7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324D" w:rsidRDefault="0053324D" w:rsidP="009C62BB">
      <w:r>
        <w:separator/>
      </w:r>
    </w:p>
  </w:endnote>
  <w:endnote w:type="continuationSeparator" w:id="1">
    <w:p w:rsidR="0053324D" w:rsidRDefault="0053324D" w:rsidP="009C6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Galliard BT">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2BB" w:rsidRDefault="003A3288">
    <w:pPr>
      <w:widowControl/>
      <w:pBdr>
        <w:top w:val="nil"/>
        <w:left w:val="nil"/>
        <w:bottom w:val="nil"/>
        <w:right w:val="nil"/>
        <w:between w:val="nil"/>
      </w:pBdr>
      <w:jc w:val="right"/>
      <w:rPr>
        <w:rFonts w:ascii="Arial" w:eastAsia="Arial" w:hAnsi="Arial" w:cs="Arial"/>
        <w:color w:val="000000"/>
        <w:sz w:val="16"/>
        <w:szCs w:val="16"/>
      </w:rPr>
    </w:pPr>
    <w:r>
      <w:rPr>
        <w:rFonts w:ascii="Arial" w:eastAsia="Arial" w:hAnsi="Arial" w:cs="Arial"/>
        <w:color w:val="000000"/>
        <w:sz w:val="16"/>
        <w:szCs w:val="16"/>
      </w:rPr>
      <w:t>Secretaria Municipal de Educação</w:t>
    </w:r>
  </w:p>
  <w:p w:rsidR="009C62BB" w:rsidRDefault="003A3288">
    <w:pPr>
      <w:widowControl/>
      <w:pBdr>
        <w:top w:val="nil"/>
        <w:left w:val="nil"/>
        <w:bottom w:val="nil"/>
        <w:right w:val="nil"/>
        <w:between w:val="nil"/>
      </w:pBdr>
      <w:jc w:val="right"/>
      <w:rPr>
        <w:rFonts w:ascii="Arial" w:eastAsia="Arial" w:hAnsi="Arial" w:cs="Arial"/>
        <w:color w:val="000000"/>
        <w:sz w:val="16"/>
        <w:szCs w:val="16"/>
      </w:rPr>
    </w:pPr>
    <w:r>
      <w:rPr>
        <w:rFonts w:ascii="Arial" w:eastAsia="Arial" w:hAnsi="Arial" w:cs="Arial"/>
        <w:color w:val="000000"/>
        <w:sz w:val="16"/>
        <w:szCs w:val="16"/>
      </w:rPr>
      <w:t>Avenida Vereador Abrahão João Francisco, 3855, Ressacada</w:t>
    </w:r>
  </w:p>
  <w:p w:rsidR="009C62BB" w:rsidRDefault="003A3288">
    <w:pPr>
      <w:widowControl/>
      <w:pBdr>
        <w:top w:val="nil"/>
        <w:left w:val="nil"/>
        <w:bottom w:val="nil"/>
        <w:right w:val="nil"/>
        <w:between w:val="nil"/>
      </w:pBdr>
      <w:jc w:val="right"/>
      <w:rPr>
        <w:rFonts w:ascii="Arial" w:eastAsia="Arial" w:hAnsi="Arial" w:cs="Arial"/>
        <w:color w:val="000000"/>
        <w:sz w:val="16"/>
        <w:szCs w:val="16"/>
      </w:rPr>
    </w:pPr>
    <w:r>
      <w:rPr>
        <w:rFonts w:ascii="Arial" w:eastAsia="Arial" w:hAnsi="Arial" w:cs="Arial"/>
        <w:color w:val="000000"/>
        <w:sz w:val="16"/>
        <w:szCs w:val="16"/>
      </w:rPr>
      <w:t>88307-303 • Itajaí • Santa Catarina</w:t>
    </w:r>
  </w:p>
  <w:p w:rsidR="009C62BB" w:rsidRDefault="003A3288">
    <w:pPr>
      <w:widowControl/>
      <w:pBdr>
        <w:top w:val="nil"/>
        <w:left w:val="nil"/>
        <w:bottom w:val="nil"/>
        <w:right w:val="nil"/>
        <w:between w:val="nil"/>
      </w:pBdr>
      <w:jc w:val="right"/>
      <w:rPr>
        <w:rFonts w:ascii="Arial" w:eastAsia="Arial" w:hAnsi="Arial" w:cs="Arial"/>
        <w:color w:val="000000"/>
        <w:sz w:val="16"/>
        <w:szCs w:val="16"/>
      </w:rPr>
    </w:pPr>
    <w:r>
      <w:rPr>
        <w:rFonts w:ascii="Arial" w:eastAsia="Arial" w:hAnsi="Arial" w:cs="Arial"/>
        <w:color w:val="000000"/>
        <w:sz w:val="16"/>
        <w:szCs w:val="16"/>
      </w:rPr>
      <w:t>Fone: 47 3249-3300</w:t>
    </w:r>
  </w:p>
  <w:p w:rsidR="009C62BB" w:rsidRDefault="009C62BB">
    <w:pPr>
      <w:pBdr>
        <w:top w:val="nil"/>
        <w:left w:val="nil"/>
        <w:bottom w:val="nil"/>
        <w:right w:val="nil"/>
        <w:between w:val="nil"/>
      </w:pBdr>
      <w:rPr>
        <w:rFonts w:ascii="Arial" w:eastAsia="Arial" w:hAnsi="Arial" w:cs="Arial"/>
        <w:b/>
        <w:color w:val="000000"/>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324D" w:rsidRDefault="0053324D" w:rsidP="009C62BB">
      <w:r>
        <w:separator/>
      </w:r>
    </w:p>
  </w:footnote>
  <w:footnote w:type="continuationSeparator" w:id="1">
    <w:p w:rsidR="0053324D" w:rsidRDefault="0053324D" w:rsidP="009C62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3092"/>
    <w:multiLevelType w:val="multilevel"/>
    <w:tmpl w:val="883025A2"/>
    <w:lvl w:ilvl="0">
      <w:start w:val="1"/>
      <w:numFmt w:val="decimal"/>
      <w:lvlText w:val=" %1 "/>
      <w:lvlJc w:val="left"/>
      <w:pPr>
        <w:ind w:left="436" w:hanging="360"/>
      </w:pPr>
    </w:lvl>
    <w:lvl w:ilvl="1">
      <w:start w:val="1"/>
      <w:numFmt w:val="decimal"/>
      <w:lvlText w:val=" %1.%2 "/>
      <w:lvlJc w:val="left"/>
      <w:pPr>
        <w:ind w:left="796" w:hanging="360"/>
      </w:pPr>
    </w:lvl>
    <w:lvl w:ilvl="2">
      <w:start w:val="1"/>
      <w:numFmt w:val="decimal"/>
      <w:lvlText w:val=" %1.%2.%3 "/>
      <w:lvlJc w:val="left"/>
      <w:pPr>
        <w:ind w:left="1156" w:hanging="360"/>
      </w:pPr>
    </w:lvl>
    <w:lvl w:ilvl="3">
      <w:start w:val="1"/>
      <w:numFmt w:val="decimal"/>
      <w:lvlText w:val=" %1.%2.%3.%4 "/>
      <w:lvlJc w:val="left"/>
      <w:pPr>
        <w:ind w:left="1516" w:hanging="360"/>
      </w:pPr>
    </w:lvl>
    <w:lvl w:ilvl="4">
      <w:start w:val="1"/>
      <w:numFmt w:val="decimal"/>
      <w:lvlText w:val=" %1.%2.%3.%4.%5 "/>
      <w:lvlJc w:val="left"/>
      <w:pPr>
        <w:ind w:left="1876" w:hanging="360"/>
      </w:pPr>
    </w:lvl>
    <w:lvl w:ilvl="5">
      <w:start w:val="1"/>
      <w:numFmt w:val="decimal"/>
      <w:lvlText w:val=" %1.%2.%3.%4.%5.%6 "/>
      <w:lvlJc w:val="left"/>
      <w:pPr>
        <w:ind w:left="2236" w:hanging="360"/>
      </w:pPr>
    </w:lvl>
    <w:lvl w:ilvl="6">
      <w:start w:val="1"/>
      <w:numFmt w:val="decimal"/>
      <w:lvlText w:val=" %1.%2.%3.%4.%5.%6.%7 "/>
      <w:lvlJc w:val="left"/>
      <w:pPr>
        <w:ind w:left="2596" w:hanging="360"/>
      </w:pPr>
    </w:lvl>
    <w:lvl w:ilvl="7">
      <w:start w:val="1"/>
      <w:numFmt w:val="decimal"/>
      <w:lvlText w:val=" %1.%2.%3.%4.%5.%6.%7.%8 "/>
      <w:lvlJc w:val="left"/>
      <w:pPr>
        <w:ind w:left="2956" w:hanging="360"/>
      </w:pPr>
    </w:lvl>
    <w:lvl w:ilvl="8">
      <w:start w:val="1"/>
      <w:numFmt w:val="decimal"/>
      <w:lvlText w:val=" %1.%2.%3.%4.%5.%6.%7.%8.%9 "/>
      <w:lvlJc w:val="left"/>
      <w:pPr>
        <w:ind w:left="3316" w:hanging="360"/>
      </w:pPr>
    </w:lvl>
  </w:abstractNum>
  <w:abstractNum w:abstractNumId="1">
    <w:nsid w:val="101B2027"/>
    <w:multiLevelType w:val="multilevel"/>
    <w:tmpl w:val="3D9E3A22"/>
    <w:lvl w:ilvl="0">
      <w:start w:val="6"/>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9C62BB"/>
    <w:rsid w:val="00377A2F"/>
    <w:rsid w:val="003A3288"/>
    <w:rsid w:val="004415AE"/>
    <w:rsid w:val="0053324D"/>
    <w:rsid w:val="00585246"/>
    <w:rsid w:val="009C62BB"/>
    <w:rsid w:val="00E760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2C9"/>
    <w:pPr>
      <w:suppressAutoHyphens/>
    </w:pPr>
    <w:rPr>
      <w:rFonts w:eastAsia="Lucida Sans Unicode"/>
    </w:rPr>
  </w:style>
  <w:style w:type="paragraph" w:styleId="Ttulo1">
    <w:name w:val="heading 1"/>
    <w:basedOn w:val="normal1"/>
    <w:next w:val="normal1"/>
    <w:rsid w:val="006806BB"/>
    <w:pPr>
      <w:keepNext/>
      <w:pBdr>
        <w:bottom w:val="nil"/>
      </w:pBdr>
      <w:spacing w:before="240" w:after="120"/>
      <w:outlineLvl w:val="0"/>
    </w:pPr>
    <w:rPr>
      <w:rFonts w:ascii="Arial" w:eastAsia="Arial" w:hAnsi="Arial" w:cs="Arial"/>
      <w:b/>
      <w:color w:val="00000A"/>
      <w:sz w:val="32"/>
      <w:szCs w:val="32"/>
    </w:rPr>
  </w:style>
  <w:style w:type="paragraph" w:styleId="Ttulo2">
    <w:name w:val="heading 2"/>
    <w:basedOn w:val="normal1"/>
    <w:next w:val="normal1"/>
    <w:rsid w:val="006806BB"/>
    <w:pPr>
      <w:keepNext/>
      <w:keepLines/>
      <w:spacing w:before="360" w:after="80"/>
      <w:outlineLvl w:val="1"/>
    </w:pPr>
    <w:rPr>
      <w:b/>
      <w:sz w:val="36"/>
      <w:szCs w:val="36"/>
    </w:rPr>
  </w:style>
  <w:style w:type="paragraph" w:styleId="Ttulo3">
    <w:name w:val="heading 3"/>
    <w:basedOn w:val="normal1"/>
    <w:next w:val="normal1"/>
    <w:rsid w:val="006806BB"/>
    <w:pPr>
      <w:keepNext/>
      <w:keepLines/>
      <w:spacing w:before="280" w:after="80"/>
      <w:outlineLvl w:val="2"/>
    </w:pPr>
    <w:rPr>
      <w:b/>
      <w:sz w:val="28"/>
      <w:szCs w:val="28"/>
    </w:rPr>
  </w:style>
  <w:style w:type="paragraph" w:styleId="Ttulo4">
    <w:name w:val="heading 4"/>
    <w:basedOn w:val="normal1"/>
    <w:next w:val="normal1"/>
    <w:rsid w:val="006806BB"/>
    <w:pPr>
      <w:keepNext/>
      <w:keepLines/>
      <w:spacing w:before="240" w:after="40"/>
      <w:outlineLvl w:val="3"/>
    </w:pPr>
    <w:rPr>
      <w:b/>
    </w:rPr>
  </w:style>
  <w:style w:type="paragraph" w:styleId="Ttulo5">
    <w:name w:val="heading 5"/>
    <w:basedOn w:val="normal1"/>
    <w:next w:val="normal1"/>
    <w:rsid w:val="006806BB"/>
    <w:pPr>
      <w:keepNext/>
      <w:keepLines/>
      <w:spacing w:before="220" w:after="40"/>
      <w:outlineLvl w:val="4"/>
    </w:pPr>
    <w:rPr>
      <w:b/>
      <w:sz w:val="22"/>
      <w:szCs w:val="22"/>
    </w:rPr>
  </w:style>
  <w:style w:type="paragraph" w:styleId="Ttulo6">
    <w:name w:val="heading 6"/>
    <w:basedOn w:val="normal1"/>
    <w:next w:val="normal1"/>
    <w:rsid w:val="006806BB"/>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9C62BB"/>
  </w:style>
  <w:style w:type="table" w:customStyle="1" w:styleId="TableNormal">
    <w:name w:val="Table Normal"/>
    <w:rsid w:val="009C62BB"/>
    <w:tblPr>
      <w:tblCellMar>
        <w:top w:w="0" w:type="dxa"/>
        <w:left w:w="0" w:type="dxa"/>
        <w:bottom w:w="0" w:type="dxa"/>
        <w:right w:w="0" w:type="dxa"/>
      </w:tblCellMar>
    </w:tblPr>
  </w:style>
  <w:style w:type="paragraph" w:styleId="Ttulo">
    <w:name w:val="Title"/>
    <w:basedOn w:val="Normal"/>
    <w:next w:val="Normal"/>
    <w:qFormat/>
    <w:rsid w:val="009C52C9"/>
    <w:pPr>
      <w:pBdr>
        <w:bottom w:val="single" w:sz="8" w:space="4" w:color="4F81BD"/>
      </w:pBdr>
      <w:spacing w:after="300"/>
    </w:pPr>
    <w:rPr>
      <w:rFonts w:ascii="Cambria" w:eastAsia="Calibri" w:hAnsi="Cambria" w:cs="Tahoma"/>
      <w:color w:val="17365D"/>
      <w:spacing w:val="5"/>
      <w:sz w:val="52"/>
      <w:szCs w:val="52"/>
    </w:rPr>
  </w:style>
  <w:style w:type="paragraph" w:customStyle="1" w:styleId="normal1">
    <w:name w:val="normal1"/>
    <w:rsid w:val="006806BB"/>
  </w:style>
  <w:style w:type="table" w:customStyle="1" w:styleId="TableNormal1">
    <w:name w:val="Table Normal1"/>
    <w:rsid w:val="006806BB"/>
    <w:tblPr>
      <w:tblCellMar>
        <w:top w:w="0" w:type="dxa"/>
        <w:left w:w="0" w:type="dxa"/>
        <w:bottom w:w="0" w:type="dxa"/>
        <w:right w:w="0" w:type="dxa"/>
      </w:tblCellMar>
    </w:tblPr>
  </w:style>
  <w:style w:type="paragraph" w:customStyle="1" w:styleId="Heading1">
    <w:name w:val="Heading 1"/>
    <w:basedOn w:val="Ttulo"/>
    <w:qFormat/>
    <w:rsid w:val="009C52C9"/>
    <w:pPr>
      <w:keepNext/>
      <w:pBdr>
        <w:bottom w:val="nil"/>
      </w:pBdr>
      <w:spacing w:before="240" w:after="120"/>
      <w:ind w:left="436" w:hanging="360"/>
      <w:outlineLvl w:val="0"/>
    </w:pPr>
    <w:rPr>
      <w:rFonts w:ascii="Arial" w:eastAsia="Lucida Sans Unicode" w:hAnsi="Arial"/>
      <w:b/>
      <w:bCs/>
      <w:color w:val="00000A"/>
      <w:spacing w:val="0"/>
      <w:sz w:val="32"/>
      <w:szCs w:val="32"/>
    </w:rPr>
  </w:style>
  <w:style w:type="character" w:customStyle="1" w:styleId="Ttulo1Char">
    <w:name w:val="Título 1 Char"/>
    <w:basedOn w:val="Fontepargpadro"/>
    <w:qFormat/>
    <w:rsid w:val="009C52C9"/>
    <w:rPr>
      <w:rFonts w:ascii="Arial" w:eastAsia="Lucida Sans Unicode" w:hAnsi="Arial" w:cs="Tahoma"/>
      <w:b/>
      <w:bCs/>
      <w:sz w:val="32"/>
      <w:szCs w:val="32"/>
    </w:rPr>
  </w:style>
  <w:style w:type="character" w:customStyle="1" w:styleId="TtuloChar">
    <w:name w:val="Título Char"/>
    <w:basedOn w:val="Fontepargpadro"/>
    <w:qFormat/>
    <w:rsid w:val="009C52C9"/>
    <w:rPr>
      <w:rFonts w:ascii="Cambria" w:eastAsia="Calibri" w:hAnsi="Cambria" w:cs="Tahoma"/>
      <w:color w:val="17365D"/>
      <w:spacing w:val="5"/>
      <w:kern w:val="2"/>
      <w:sz w:val="52"/>
      <w:szCs w:val="52"/>
    </w:rPr>
  </w:style>
  <w:style w:type="character" w:customStyle="1" w:styleId="CorpodetextoChar">
    <w:name w:val="Corpo de texto Char"/>
    <w:basedOn w:val="Fontepargpadro"/>
    <w:qFormat/>
    <w:rsid w:val="009C52C9"/>
    <w:rPr>
      <w:rFonts w:ascii="Times New Roman" w:eastAsia="Lucida Sans Unicode" w:hAnsi="Times New Roman" w:cs="Times New Roman"/>
      <w:sz w:val="24"/>
      <w:szCs w:val="24"/>
    </w:rPr>
  </w:style>
  <w:style w:type="character" w:customStyle="1" w:styleId="Smbolosdenumerao">
    <w:name w:val="Símbolos de numeração"/>
    <w:qFormat/>
    <w:rsid w:val="009C52C9"/>
    <w:rPr>
      <w:b/>
      <w:bCs/>
    </w:rPr>
  </w:style>
  <w:style w:type="paragraph" w:styleId="Corpodetexto">
    <w:name w:val="Body Text"/>
    <w:basedOn w:val="Normal"/>
    <w:rsid w:val="009C52C9"/>
    <w:pPr>
      <w:spacing w:after="120"/>
    </w:pPr>
  </w:style>
  <w:style w:type="paragraph" w:customStyle="1" w:styleId="LO-Normal">
    <w:name w:val="LO-Normal"/>
    <w:qFormat/>
    <w:rsid w:val="009C52C9"/>
    <w:pPr>
      <w:suppressAutoHyphens/>
    </w:pPr>
  </w:style>
  <w:style w:type="paragraph" w:styleId="Lista">
    <w:name w:val="List"/>
    <w:basedOn w:val="Corpodetexto"/>
    <w:rsid w:val="009C52C9"/>
    <w:rPr>
      <w:rFonts w:cs="Mangal"/>
    </w:rPr>
  </w:style>
  <w:style w:type="paragraph" w:customStyle="1" w:styleId="Caption">
    <w:name w:val="Caption"/>
    <w:basedOn w:val="Normal"/>
    <w:qFormat/>
    <w:rsid w:val="009C52C9"/>
    <w:pPr>
      <w:suppressLineNumbers/>
      <w:spacing w:before="120" w:after="120"/>
    </w:pPr>
    <w:rPr>
      <w:rFonts w:cs="Mangal"/>
      <w:i/>
      <w:iCs/>
    </w:rPr>
  </w:style>
  <w:style w:type="paragraph" w:customStyle="1" w:styleId="ndice">
    <w:name w:val="Índice"/>
    <w:basedOn w:val="Normal"/>
    <w:qFormat/>
    <w:rsid w:val="009C52C9"/>
    <w:pPr>
      <w:suppressLineNumbers/>
    </w:pPr>
    <w:rPr>
      <w:rFonts w:cs="Mangal"/>
    </w:rPr>
  </w:style>
  <w:style w:type="paragraph" w:customStyle="1" w:styleId="Corpo">
    <w:name w:val="Corpo"/>
    <w:qFormat/>
    <w:rsid w:val="009C52C9"/>
    <w:pPr>
      <w:suppressAutoHyphens/>
    </w:pPr>
    <w:rPr>
      <w:color w:val="000000"/>
      <w:sz w:val="20"/>
      <w:szCs w:val="20"/>
      <w:lang w:eastAsia="ar-SA"/>
    </w:rPr>
  </w:style>
  <w:style w:type="paragraph" w:customStyle="1" w:styleId="Default">
    <w:name w:val="Default"/>
    <w:qFormat/>
    <w:rsid w:val="009C52C9"/>
    <w:pPr>
      <w:suppressAutoHyphens/>
    </w:pPr>
    <w:rPr>
      <w:rFonts w:cs="Calibri"/>
      <w:color w:val="000000"/>
    </w:rPr>
  </w:style>
  <w:style w:type="paragraph" w:customStyle="1" w:styleId="Normal2">
    <w:name w:val="[Normal]"/>
    <w:qFormat/>
    <w:rsid w:val="009C52C9"/>
    <w:pPr>
      <w:suppressAutoHyphens/>
    </w:pPr>
    <w:rPr>
      <w:rFonts w:ascii="Arial" w:hAnsi="Arial" w:cs="Arial"/>
    </w:rPr>
  </w:style>
  <w:style w:type="paragraph" w:customStyle="1" w:styleId="Recuodecorpodetexto21">
    <w:name w:val="Recuo de corpo de texto 21"/>
    <w:basedOn w:val="Normal"/>
    <w:qFormat/>
    <w:rsid w:val="009C52C9"/>
    <w:pPr>
      <w:widowControl/>
      <w:ind w:left="360"/>
      <w:jc w:val="both"/>
    </w:pPr>
    <w:rPr>
      <w:rFonts w:ascii="Galliard BT" w:eastAsia="Times New Roman" w:hAnsi="Galliard BT" w:cs="Galliard BT"/>
      <w:sz w:val="22"/>
      <w:szCs w:val="20"/>
      <w:lang w:eastAsia="ar-SA"/>
    </w:rPr>
  </w:style>
  <w:style w:type="paragraph" w:customStyle="1" w:styleId="Contedodatabela">
    <w:name w:val="Conteúdo da tabela"/>
    <w:basedOn w:val="Normal"/>
    <w:qFormat/>
    <w:rsid w:val="009C52C9"/>
  </w:style>
  <w:style w:type="paragraph" w:customStyle="1" w:styleId="Ttulodetabela">
    <w:name w:val="Título de tabela"/>
    <w:basedOn w:val="Contedodatabela"/>
    <w:qFormat/>
    <w:rsid w:val="009C52C9"/>
  </w:style>
  <w:style w:type="paragraph" w:customStyle="1" w:styleId="Standard">
    <w:name w:val="Standard"/>
    <w:qFormat/>
    <w:rsid w:val="009C52C9"/>
    <w:pPr>
      <w:suppressAutoHyphens/>
    </w:pPr>
    <w:rPr>
      <w:rFonts w:ascii="Liberation Serif" w:eastAsia="SimSun" w:hAnsi="Liberation Serif" w:cs="Mangal"/>
      <w:lang w:eastAsia="zh-CN" w:bidi="hi-IN"/>
    </w:rPr>
  </w:style>
  <w:style w:type="paragraph" w:customStyle="1" w:styleId="CabealhoeRodap">
    <w:name w:val="Cabeçalho e Rodapé"/>
    <w:basedOn w:val="Normal"/>
    <w:qFormat/>
    <w:rsid w:val="009C52C9"/>
    <w:pPr>
      <w:suppressLineNumbers/>
      <w:tabs>
        <w:tab w:val="center" w:pos="4819"/>
        <w:tab w:val="right" w:pos="9638"/>
      </w:tabs>
    </w:pPr>
  </w:style>
  <w:style w:type="paragraph" w:customStyle="1" w:styleId="Footer">
    <w:name w:val="Footer"/>
    <w:basedOn w:val="Normal"/>
    <w:rsid w:val="009C52C9"/>
  </w:style>
  <w:style w:type="paragraph" w:styleId="SemEspaamento">
    <w:name w:val="No Spacing"/>
    <w:qFormat/>
    <w:rsid w:val="009C52C9"/>
    <w:pPr>
      <w:suppressAutoHyphens/>
    </w:pPr>
    <w:rPr>
      <w:sz w:val="20"/>
      <w:szCs w:val="20"/>
      <w:lang w:eastAsia="zh-CN"/>
    </w:rPr>
  </w:style>
  <w:style w:type="paragraph" w:customStyle="1" w:styleId="Tabelanormal1">
    <w:name w:val="Tabela normal1"/>
    <w:qFormat/>
    <w:rsid w:val="009C52C9"/>
    <w:pPr>
      <w:ind w:hanging="1"/>
    </w:pPr>
    <w:rPr>
      <w:rFonts w:eastAsia="Cambria Math"/>
    </w:rPr>
  </w:style>
  <w:style w:type="paragraph" w:styleId="Subttulo">
    <w:name w:val="Subtitle"/>
    <w:basedOn w:val="Normal"/>
    <w:next w:val="Normal"/>
    <w:rsid w:val="009C62BB"/>
    <w:pPr>
      <w:keepNext/>
      <w:keepLines/>
      <w:spacing w:before="360" w:after="80"/>
    </w:pPr>
    <w:rPr>
      <w:rFonts w:ascii="Georgia" w:eastAsia="Georgia" w:hAnsi="Georgia" w:cs="Georgia"/>
      <w:i/>
      <w:color w:val="666666"/>
      <w:sz w:val="48"/>
      <w:szCs w:val="48"/>
    </w:rPr>
  </w:style>
  <w:style w:type="table" w:customStyle="1" w:styleId="4">
    <w:name w:val="4"/>
    <w:basedOn w:val="TableNormal1"/>
    <w:rsid w:val="006806BB"/>
    <w:tblPr>
      <w:tblStyleRowBandSize w:val="1"/>
      <w:tblStyleColBandSize w:val="1"/>
      <w:tblCellMar>
        <w:top w:w="0" w:type="dxa"/>
        <w:left w:w="113" w:type="dxa"/>
        <w:bottom w:w="0" w:type="dxa"/>
        <w:right w:w="115" w:type="dxa"/>
      </w:tblCellMar>
    </w:tblPr>
  </w:style>
  <w:style w:type="table" w:customStyle="1" w:styleId="3">
    <w:name w:val="3"/>
    <w:basedOn w:val="TableNormal1"/>
    <w:rsid w:val="006806BB"/>
    <w:tblPr>
      <w:tblStyleRowBandSize w:val="1"/>
      <w:tblStyleColBandSize w:val="1"/>
      <w:tblCellMar>
        <w:top w:w="100" w:type="dxa"/>
        <w:left w:w="100" w:type="dxa"/>
        <w:bottom w:w="100" w:type="dxa"/>
        <w:right w:w="100" w:type="dxa"/>
      </w:tblCellMar>
    </w:tblPr>
  </w:style>
  <w:style w:type="table" w:customStyle="1" w:styleId="2">
    <w:name w:val="2"/>
    <w:basedOn w:val="TableNormal1"/>
    <w:rsid w:val="009C62BB"/>
    <w:tblPr>
      <w:tblStyleRowBandSize w:val="1"/>
      <w:tblStyleColBandSize w:val="1"/>
      <w:tblCellMar>
        <w:top w:w="100" w:type="dxa"/>
        <w:left w:w="100" w:type="dxa"/>
        <w:bottom w:w="100" w:type="dxa"/>
        <w:right w:w="100" w:type="dxa"/>
      </w:tblCellMar>
    </w:tblPr>
  </w:style>
  <w:style w:type="table" w:customStyle="1" w:styleId="1">
    <w:name w:val="1"/>
    <w:basedOn w:val="TableNormal1"/>
    <w:rsid w:val="009C62BB"/>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s/gTBSgkjR0V7eMCWScHRRsLA==">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2209</Words>
  <Characters>11930</Characters>
  <Application>Microsoft Office Word</Application>
  <DocSecurity>0</DocSecurity>
  <Lines>99</Lines>
  <Paragraphs>28</Paragraphs>
  <ScaleCrop>false</ScaleCrop>
  <Company/>
  <LinksUpToDate>false</LinksUpToDate>
  <CharactersWithSpaces>14111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2</cp:revision>
  <cp:lastPrinted>2023-10-02T19:22:00Z</cp:lastPrinted>
  <dcterms:created xsi:type="dcterms:W3CDTF">2023-10-02T19:23:00Z</dcterms:created>
  <dcterms:modified xsi:type="dcterms:W3CDTF">2023-10-02T19:23:00Z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