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33A96" w:rsidRPr="003556C1" w:rsidRDefault="001C04B4" w:rsidP="003556C1">
      <w:pPr>
        <w:spacing w:before="0" w:after="0" w:line="240" w:lineRule="auto"/>
        <w:ind w:left="141" w:firstLine="425"/>
        <w:jc w:val="center"/>
        <w:rPr>
          <w:rFonts w:ascii="Century Gothic" w:hAnsi="Century Gothic"/>
        </w:rPr>
      </w:pPr>
      <w:r w:rsidRPr="003556C1">
        <w:rPr>
          <w:rFonts w:ascii="Century Gothic" w:hAnsi="Century Gothic"/>
          <w:b/>
          <w:bCs/>
        </w:rPr>
        <w:t>MINUTA DE EDITAL</w:t>
      </w:r>
    </w:p>
    <w:p w:rsidR="00233A96" w:rsidRPr="003556C1" w:rsidRDefault="00BC3E6E" w:rsidP="003556C1">
      <w:pPr>
        <w:spacing w:before="0" w:after="0" w:line="240" w:lineRule="auto"/>
        <w:ind w:left="141" w:firstLine="425"/>
        <w:jc w:val="center"/>
        <w:rPr>
          <w:rFonts w:ascii="Century Gothic" w:hAnsi="Century Gothic"/>
        </w:rPr>
      </w:pPr>
      <w:r>
        <w:rPr>
          <w:rFonts w:ascii="Century Gothic" w:hAnsi="Century Gothic"/>
          <w:b/>
          <w:bCs/>
        </w:rPr>
        <w:t>CONCORRÊNCIA Nº 011</w:t>
      </w:r>
      <w:r w:rsidR="001C04B4" w:rsidRPr="003556C1">
        <w:rPr>
          <w:rFonts w:ascii="Century Gothic" w:hAnsi="Century Gothic"/>
          <w:b/>
          <w:bCs/>
        </w:rPr>
        <w:t>/2026</w:t>
      </w:r>
    </w:p>
    <w:p w:rsidR="00233A96" w:rsidRPr="003556C1" w:rsidRDefault="001C04B4" w:rsidP="003556C1">
      <w:pPr>
        <w:spacing w:before="0" w:after="0" w:line="240" w:lineRule="auto"/>
        <w:ind w:left="141" w:firstLine="425"/>
        <w:jc w:val="center"/>
        <w:rPr>
          <w:rFonts w:ascii="Century Gothic" w:hAnsi="Century Gothic"/>
        </w:rPr>
      </w:pPr>
      <w:r w:rsidRPr="003556C1">
        <w:rPr>
          <w:rFonts w:ascii="Century Gothic" w:hAnsi="Century Gothic"/>
          <w:b/>
          <w:bCs/>
        </w:rPr>
        <w:t>PROCESSO SIPE Nº 178105/2026</w:t>
      </w:r>
    </w:p>
    <w:p w:rsidR="00233A96" w:rsidRPr="00FE0119" w:rsidRDefault="001C04B4" w:rsidP="00FE0119">
      <w:pPr>
        <w:spacing w:before="0" w:after="0" w:line="240" w:lineRule="auto"/>
        <w:ind w:left="141" w:firstLine="425"/>
        <w:jc w:val="center"/>
        <w:rPr>
          <w:rFonts w:ascii="Century Gothic" w:hAnsi="Century Gothic"/>
          <w:b/>
          <w:bCs/>
        </w:rPr>
      </w:pPr>
      <w:r w:rsidRPr="003556C1">
        <w:rPr>
          <w:rFonts w:ascii="Century Gothic" w:hAnsi="Century Gothic"/>
          <w:b/>
          <w:bCs/>
        </w:rPr>
        <w:t xml:space="preserve">CHAVE TCE: </w:t>
      </w:r>
      <w:r w:rsidR="00FE0119" w:rsidRPr="00FE0119">
        <w:rPr>
          <w:rFonts w:ascii="Century Gothic" w:hAnsi="Century Gothic"/>
          <w:b/>
          <w:bCs/>
        </w:rPr>
        <w:t>EB690EFC5B146391958176520AAA2DAD13701A59</w:t>
      </w:r>
    </w:p>
    <w:p w:rsidR="000C5C76" w:rsidRDefault="000C5C76" w:rsidP="003556C1">
      <w:pPr>
        <w:spacing w:before="0" w:after="0" w:line="240" w:lineRule="auto"/>
        <w:ind w:left="141" w:firstLine="425"/>
        <w:rPr>
          <w:rFonts w:ascii="Century Gothic" w:hAnsi="Century Gothic"/>
        </w:rPr>
      </w:pPr>
      <w:bookmarkStart w:id="0" w:name="_GoBack"/>
      <w:bookmarkEnd w:id="0"/>
    </w:p>
    <w:p w:rsidR="00233A96" w:rsidRDefault="001C04B4" w:rsidP="003556C1">
      <w:pPr>
        <w:spacing w:before="0" w:after="0" w:line="240" w:lineRule="auto"/>
        <w:ind w:left="141" w:firstLine="425"/>
        <w:rPr>
          <w:rFonts w:ascii="Century Gothic" w:hAnsi="Century Gothic"/>
        </w:rPr>
      </w:pPr>
      <w:r w:rsidRPr="003556C1">
        <w:rPr>
          <w:rFonts w:ascii="Century Gothic" w:hAnsi="Century Gothic"/>
        </w:rPr>
        <w:t xml:space="preserve">O </w:t>
      </w:r>
      <w:r w:rsidRPr="003556C1">
        <w:rPr>
          <w:rFonts w:ascii="Century Gothic" w:hAnsi="Century Gothic"/>
          <w:b/>
          <w:bCs/>
        </w:rPr>
        <w:t>MUNICÍPIO DE ITAJAÍ</w:t>
      </w:r>
      <w:r w:rsidRPr="003556C1">
        <w:rPr>
          <w:rFonts w:ascii="Century Gothic" w:hAnsi="Century Gothic"/>
        </w:rPr>
        <w:t xml:space="preserve">, Estado de Santa Catarina, pessoa jurídica de direito público interno, com sede na Rua Alberto Werner, nº 100, Bairro Vila Operária, CEP 88.304-053, inscrito no CNPJ sob o nº 83.102.277/0001-52, por intermédio da </w:t>
      </w:r>
      <w:r w:rsidRPr="003556C1">
        <w:rPr>
          <w:rFonts w:ascii="Century Gothic" w:hAnsi="Century Gothic"/>
          <w:b/>
          <w:bCs/>
        </w:rPr>
        <w:t>Secretaria Municipal de Turismo e Eventos — SETUR</w:t>
      </w:r>
      <w:r w:rsidRPr="003556C1">
        <w:rPr>
          <w:rFonts w:ascii="Century Gothic" w:hAnsi="Century Gothic"/>
        </w:rPr>
        <w:t xml:space="preserve">, torna público, para conhecimento dos interessados, que realizará licitação na modalidade </w:t>
      </w:r>
      <w:r w:rsidRPr="003556C1">
        <w:rPr>
          <w:rFonts w:ascii="Century Gothic" w:hAnsi="Century Gothic"/>
          <w:b/>
          <w:bCs/>
        </w:rPr>
        <w:t>CONCORRÊNCIA</w:t>
      </w:r>
      <w:r w:rsidRPr="003556C1">
        <w:rPr>
          <w:rFonts w:ascii="Century Gothic" w:hAnsi="Century Gothic"/>
        </w:rPr>
        <w:t xml:space="preserve">, do tipo </w:t>
      </w:r>
      <w:r w:rsidRPr="003556C1">
        <w:rPr>
          <w:rFonts w:ascii="Century Gothic" w:hAnsi="Century Gothic"/>
          <w:b/>
          <w:bCs/>
        </w:rPr>
        <w:t>TÉCNICA E PREÇO</w:t>
      </w:r>
      <w:r w:rsidRPr="003556C1">
        <w:rPr>
          <w:rFonts w:ascii="Century Gothic" w:hAnsi="Century Gothic"/>
        </w:rPr>
        <w:t xml:space="preserve">, no modo de disputa </w:t>
      </w:r>
      <w:r w:rsidRPr="003556C1">
        <w:rPr>
          <w:rFonts w:ascii="Century Gothic" w:hAnsi="Century Gothic"/>
          <w:b/>
          <w:bCs/>
        </w:rPr>
        <w:t>FECHADO</w:t>
      </w:r>
      <w:r w:rsidRPr="003556C1">
        <w:rPr>
          <w:rFonts w:ascii="Century Gothic" w:hAnsi="Century Gothic"/>
        </w:rPr>
        <w:t>, com fundamento na Lei Federal nº 14.133, de 1º de abril de 2021, especialmente nos arts. 5º, 6º (XXIII), 11, 18, 36 (§1º), 37, 40, 53, 92, 96, 117, 118, 124, 125, 137, 155 a 163 e 165, na Lei Complementar nº 123/2006, na Lei nº 13.709/2018 (LGPD), na Lei nº 12.846/2013 (Anticorrupção) e nas demais normas regulamentares aplicáveis, destinada à contratação descrita neste Edital e seus Anexos.</w:t>
      </w:r>
    </w:p>
    <w:p w:rsidR="003556C1" w:rsidRPr="003556C1" w:rsidRDefault="003556C1" w:rsidP="003556C1">
      <w:pPr>
        <w:spacing w:before="0" w:after="0" w:line="240" w:lineRule="auto"/>
        <w:ind w:left="141" w:firstLine="425"/>
        <w:rPr>
          <w:rFonts w:ascii="Century Gothic" w:hAnsi="Century Gothic"/>
        </w:rPr>
      </w:pPr>
    </w:p>
    <w:p w:rsidR="00233A96" w:rsidRPr="003556C1" w:rsidRDefault="001C04B4" w:rsidP="003556C1">
      <w:pPr>
        <w:spacing w:before="0" w:after="0" w:line="240" w:lineRule="auto"/>
        <w:ind w:left="141" w:firstLine="425"/>
        <w:rPr>
          <w:rFonts w:ascii="Century Gothic" w:hAnsi="Century Gothic"/>
        </w:rPr>
      </w:pPr>
      <w:r w:rsidRPr="003556C1">
        <w:rPr>
          <w:rFonts w:ascii="Century Gothic" w:hAnsi="Century Gothic"/>
          <w:b/>
          <w:bCs/>
        </w:rPr>
        <w:t xml:space="preserve">CRITÉRIO DE JULGAMENTO: </w:t>
      </w:r>
      <w:r w:rsidRPr="003556C1">
        <w:rPr>
          <w:rFonts w:ascii="Century Gothic" w:hAnsi="Century Gothic"/>
        </w:rPr>
        <w:t>Técnica e Preço (art. 36, §1º, Lei nº 14.133/2021)</w:t>
      </w:r>
    </w:p>
    <w:p w:rsidR="00233A96" w:rsidRPr="003556C1" w:rsidRDefault="001C04B4" w:rsidP="003556C1">
      <w:pPr>
        <w:spacing w:before="0" w:after="0" w:line="240" w:lineRule="auto"/>
        <w:ind w:left="141" w:firstLine="425"/>
        <w:rPr>
          <w:rFonts w:ascii="Century Gothic" w:hAnsi="Century Gothic"/>
        </w:rPr>
      </w:pPr>
      <w:r w:rsidRPr="003556C1">
        <w:rPr>
          <w:rFonts w:ascii="Century Gothic" w:hAnsi="Century Gothic"/>
          <w:b/>
          <w:bCs/>
        </w:rPr>
        <w:t xml:space="preserve">MODO DE DISPUTA: </w:t>
      </w:r>
      <w:r w:rsidRPr="003556C1">
        <w:rPr>
          <w:rFonts w:ascii="Century Gothic" w:hAnsi="Century Gothic"/>
        </w:rPr>
        <w:t>Fechado (art. 56, §1º, Lei nº 14.133/2021)</w:t>
      </w:r>
    </w:p>
    <w:p w:rsidR="00233A96" w:rsidRPr="003556C1" w:rsidRDefault="001C04B4" w:rsidP="003556C1">
      <w:pPr>
        <w:spacing w:before="0" w:after="0" w:line="240" w:lineRule="auto"/>
        <w:ind w:left="141" w:firstLine="425"/>
        <w:rPr>
          <w:rFonts w:ascii="Century Gothic" w:hAnsi="Century Gothic"/>
        </w:rPr>
      </w:pPr>
      <w:r w:rsidRPr="003556C1">
        <w:rPr>
          <w:rFonts w:ascii="Century Gothic" w:hAnsi="Century Gothic"/>
          <w:b/>
          <w:bCs/>
        </w:rPr>
        <w:t xml:space="preserve">PESOS: </w:t>
      </w:r>
      <w:r w:rsidRPr="003556C1">
        <w:rPr>
          <w:rFonts w:ascii="Century Gothic" w:hAnsi="Century Gothic"/>
        </w:rPr>
        <w:t>Proposta Técnica — 60% | Proposta de Preço — 40%</w:t>
      </w:r>
    </w:p>
    <w:p w:rsidR="00233A96" w:rsidRPr="003556C1" w:rsidRDefault="001C04B4" w:rsidP="003556C1">
      <w:pPr>
        <w:spacing w:before="0" w:after="0" w:line="240" w:lineRule="auto"/>
        <w:ind w:left="141" w:firstLine="425"/>
        <w:rPr>
          <w:rFonts w:ascii="Century Gothic" w:hAnsi="Century Gothic"/>
        </w:rPr>
      </w:pPr>
      <w:r w:rsidRPr="003556C1">
        <w:rPr>
          <w:rFonts w:ascii="Century Gothic" w:hAnsi="Century Gothic"/>
          <w:b/>
          <w:bCs/>
        </w:rPr>
        <w:t xml:space="preserve">ABERTURA: </w:t>
      </w:r>
      <w:r w:rsidR="00BC3E6E">
        <w:rPr>
          <w:rFonts w:ascii="Century Gothic" w:hAnsi="Century Gothic"/>
          <w:color w:val="FF0000"/>
        </w:rPr>
        <w:t xml:space="preserve">18 de </w:t>
      </w:r>
      <w:r w:rsidR="00794206">
        <w:rPr>
          <w:rFonts w:ascii="Century Gothic" w:hAnsi="Century Gothic"/>
          <w:color w:val="FF0000"/>
        </w:rPr>
        <w:t>agosto</w:t>
      </w:r>
      <w:r w:rsidR="00BC3E6E">
        <w:rPr>
          <w:rFonts w:ascii="Century Gothic" w:hAnsi="Century Gothic"/>
          <w:color w:val="FF0000"/>
        </w:rPr>
        <w:t xml:space="preserve"> de 2026</w:t>
      </w:r>
      <w:r w:rsidRPr="003556C1">
        <w:rPr>
          <w:rFonts w:ascii="Century Gothic" w:hAnsi="Century Gothic"/>
          <w:color w:val="FF0000"/>
        </w:rPr>
        <w:t xml:space="preserve"> </w:t>
      </w:r>
      <w:r w:rsidR="00BC3E6E">
        <w:rPr>
          <w:rFonts w:ascii="Century Gothic" w:hAnsi="Century Gothic"/>
          <w:color w:val="FF0000"/>
        </w:rPr>
        <w:t>às 09h00min.</w:t>
      </w:r>
      <w:r w:rsidRPr="003556C1">
        <w:rPr>
          <w:rFonts w:ascii="Century Gothic" w:hAnsi="Century Gothic"/>
        </w:rPr>
        <w:t xml:space="preserve"> — Horário de Brasília (DF)</w:t>
      </w:r>
    </w:p>
    <w:p w:rsidR="00233A96" w:rsidRPr="003556C1" w:rsidRDefault="001C04B4" w:rsidP="003556C1">
      <w:pPr>
        <w:spacing w:before="0" w:after="0" w:line="240" w:lineRule="auto"/>
        <w:ind w:left="141" w:firstLine="425"/>
        <w:rPr>
          <w:rFonts w:ascii="Century Gothic" w:hAnsi="Century Gothic"/>
        </w:rPr>
      </w:pPr>
      <w:r w:rsidRPr="003556C1">
        <w:rPr>
          <w:rFonts w:ascii="Century Gothic" w:hAnsi="Century Gothic"/>
          <w:b/>
          <w:bCs/>
        </w:rPr>
        <w:t xml:space="preserve">PLATAFORMA ELETRÔNICA: </w:t>
      </w:r>
      <w:r w:rsidRPr="003556C1">
        <w:rPr>
          <w:rFonts w:ascii="Century Gothic" w:hAnsi="Century Gothic"/>
        </w:rPr>
        <w:t xml:space="preserve">BNC Compras — </w:t>
      </w:r>
      <w:hyperlink r:id="rId9">
        <w:r w:rsidRPr="003556C1">
          <w:rPr>
            <w:rFonts w:ascii="Century Gothic" w:hAnsi="Century Gothic"/>
            <w:color w:val="1155CC"/>
            <w:u w:val="single"/>
          </w:rPr>
          <w:t>https://bnccompras.com/</w:t>
        </w:r>
      </w:hyperlink>
    </w:p>
    <w:p w:rsidR="00233A96" w:rsidRPr="003556C1" w:rsidRDefault="001C04B4" w:rsidP="003556C1">
      <w:pPr>
        <w:spacing w:before="0" w:after="0" w:line="240" w:lineRule="auto"/>
        <w:ind w:left="141" w:firstLine="425"/>
        <w:rPr>
          <w:rFonts w:ascii="Century Gothic" w:hAnsi="Century Gothic"/>
        </w:rPr>
      </w:pPr>
      <w:r w:rsidRPr="003556C1">
        <w:rPr>
          <w:rFonts w:ascii="Century Gothic" w:hAnsi="Century Gothic"/>
          <w:b/>
          <w:bCs/>
        </w:rPr>
        <w:t xml:space="preserve">PRAZO MÍNIMO DE DIVULGAÇÃO: </w:t>
      </w:r>
      <w:r w:rsidRPr="003556C1">
        <w:rPr>
          <w:rFonts w:ascii="Century Gothic" w:hAnsi="Century Gothic"/>
        </w:rPr>
        <w:t>35 dias úteis (art. 55, I, Lei nº 14.133/2021)</w:t>
      </w:r>
    </w:p>
    <w:p w:rsidR="00233A96" w:rsidRPr="003556C1" w:rsidRDefault="001C04B4" w:rsidP="003556C1">
      <w:pPr>
        <w:spacing w:before="0" w:after="0" w:line="240" w:lineRule="auto"/>
        <w:ind w:left="141" w:firstLine="425"/>
        <w:rPr>
          <w:rFonts w:ascii="Century Gothic" w:hAnsi="Century Gothic"/>
        </w:rPr>
      </w:pPr>
      <w:r w:rsidRPr="003556C1">
        <w:rPr>
          <w:rFonts w:ascii="Century Gothic" w:hAnsi="Century Gothic"/>
        </w:rPr>
        <w:t>O cadastro das empresas no BNC deve ser feito no site https://bnccompras.com/. Em caso de dúvidas: Telefone/WhatsApp (42) 3026-455</w:t>
      </w:r>
      <w:r w:rsidR="00675215" w:rsidRPr="003556C1">
        <w:rPr>
          <w:rFonts w:ascii="Century Gothic" w:hAnsi="Century Gothic"/>
        </w:rPr>
        <w:t>5</w:t>
      </w:r>
      <w:r w:rsidRPr="003556C1">
        <w:rPr>
          <w:rFonts w:ascii="Century Gothic" w:hAnsi="Century Gothic"/>
        </w:rPr>
        <w:t xml:space="preserve">; e-mail: </w:t>
      </w:r>
      <w:hyperlink r:id="rId10" w:history="1">
        <w:r w:rsidR="00675215" w:rsidRPr="003556C1">
          <w:rPr>
            <w:rStyle w:val="Hyperlink"/>
            <w:rFonts w:ascii="Century Gothic" w:hAnsi="Century Gothic"/>
          </w:rPr>
          <w:t>contato@bnc.org.br</w:t>
        </w:r>
      </w:hyperlink>
      <w:r w:rsidRPr="003556C1">
        <w:rPr>
          <w:rFonts w:ascii="Century Gothic" w:hAnsi="Century Gothic"/>
        </w:rPr>
        <w:t>.</w:t>
      </w:r>
    </w:p>
    <w:p w:rsidR="00675215" w:rsidRPr="003556C1" w:rsidRDefault="00675215" w:rsidP="003556C1">
      <w:pPr>
        <w:spacing w:before="0" w:after="0" w:line="240" w:lineRule="auto"/>
        <w:ind w:left="141" w:firstLine="425"/>
        <w:rPr>
          <w:rFonts w:ascii="Century Gothic" w:hAnsi="Century Gothic"/>
        </w:rPr>
      </w:pPr>
    </w:p>
    <w:p w:rsidR="00675215" w:rsidRPr="003556C1" w:rsidRDefault="00675215" w:rsidP="003556C1">
      <w:pPr>
        <w:spacing w:before="0" w:after="0" w:line="240" w:lineRule="auto"/>
        <w:ind w:left="141" w:firstLine="425"/>
        <w:rPr>
          <w:rFonts w:ascii="Century Gothic" w:hAnsi="Century Gothic"/>
        </w:rPr>
      </w:pPr>
    </w:p>
    <w:p w:rsidR="00233A96" w:rsidRPr="003556C1" w:rsidRDefault="001C04B4" w:rsidP="003556C1">
      <w:pPr>
        <w:pStyle w:val="Ttulo1"/>
        <w:keepNext w:val="0"/>
        <w:keepLines w:val="0"/>
        <w:numPr>
          <w:ilvl w:val="0"/>
          <w:numId w:val="1"/>
        </w:numPr>
        <w:spacing w:before="0" w:after="0" w:line="240" w:lineRule="auto"/>
        <w:ind w:left="141" w:firstLine="425"/>
        <w:rPr>
          <w:rFonts w:ascii="Century Gothic" w:hAnsi="Century Gothic"/>
          <w:b/>
          <w:bCs/>
          <w:sz w:val="24"/>
          <w:szCs w:val="24"/>
        </w:rPr>
      </w:pPr>
      <w:r w:rsidRPr="003556C1">
        <w:rPr>
          <w:rFonts w:ascii="Century Gothic" w:hAnsi="Century Gothic"/>
          <w:b/>
          <w:bCs/>
          <w:sz w:val="24"/>
          <w:szCs w:val="24"/>
        </w:rPr>
        <w:t>DO OBJETO</w:t>
      </w: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 xml:space="preserve">Constitui objeto desta licitação a </w:t>
      </w:r>
      <w:r w:rsidRPr="003556C1">
        <w:rPr>
          <w:rFonts w:ascii="Century Gothic" w:hAnsi="Century Gothic"/>
          <w:b/>
          <w:bCs/>
          <w:sz w:val="24"/>
          <w:szCs w:val="24"/>
        </w:rPr>
        <w:t>contratação de empresa especializada para a gestão integrada dos eventos oficiais do calendário municipal de Itajaí — ciclo 2026/2027</w:t>
      </w:r>
      <w:r w:rsidRPr="003556C1">
        <w:rPr>
          <w:rFonts w:ascii="Century Gothic" w:hAnsi="Century Gothic"/>
          <w:sz w:val="24"/>
          <w:szCs w:val="24"/>
        </w:rPr>
        <w:t>, compreendendo o planejamento estratégico, a produção executiva, a operação técnica, a comunicação e promoção turística, a aferição de público, a segurança, a acessibilidade, a sustentabilidade, a desmontagem e o pós-evento dos seguintes eventos:</w:t>
      </w:r>
    </w:p>
    <w:p w:rsidR="003556C1" w:rsidRPr="003556C1" w:rsidRDefault="003556C1" w:rsidP="003556C1">
      <w:pPr>
        <w:rPr>
          <w:sz w:val="2"/>
        </w:rPr>
      </w:pPr>
    </w:p>
    <w:p w:rsidR="00233A96" w:rsidRPr="003556C1" w:rsidRDefault="001C04B4" w:rsidP="003556C1">
      <w:pPr>
        <w:numPr>
          <w:ilvl w:val="0"/>
          <w:numId w:val="2"/>
        </w:numPr>
        <w:spacing w:before="0" w:after="0" w:line="240" w:lineRule="auto"/>
        <w:ind w:left="141" w:firstLine="425"/>
        <w:rPr>
          <w:rFonts w:ascii="Century Gothic" w:hAnsi="Century Gothic"/>
        </w:rPr>
      </w:pPr>
      <w:r w:rsidRPr="003556C1">
        <w:rPr>
          <w:rFonts w:ascii="Century Gothic" w:hAnsi="Century Gothic"/>
        </w:rPr>
        <w:t>Marejada 2026;</w:t>
      </w:r>
    </w:p>
    <w:p w:rsidR="00233A96" w:rsidRPr="003556C1" w:rsidRDefault="001C04B4" w:rsidP="003556C1">
      <w:pPr>
        <w:numPr>
          <w:ilvl w:val="0"/>
          <w:numId w:val="2"/>
        </w:numPr>
        <w:spacing w:before="0" w:after="0" w:line="240" w:lineRule="auto"/>
        <w:ind w:left="141" w:firstLine="425"/>
        <w:rPr>
          <w:rFonts w:ascii="Century Gothic" w:hAnsi="Century Gothic"/>
        </w:rPr>
      </w:pPr>
      <w:r w:rsidRPr="003556C1">
        <w:rPr>
          <w:rFonts w:ascii="Century Gothic" w:hAnsi="Century Gothic"/>
        </w:rPr>
        <w:t>Réveillon 2027;</w:t>
      </w:r>
    </w:p>
    <w:p w:rsidR="00233A96" w:rsidRPr="003556C1" w:rsidRDefault="001C04B4" w:rsidP="003556C1">
      <w:pPr>
        <w:numPr>
          <w:ilvl w:val="0"/>
          <w:numId w:val="2"/>
        </w:numPr>
        <w:spacing w:before="0" w:after="0" w:line="240" w:lineRule="auto"/>
        <w:ind w:left="141" w:firstLine="425"/>
        <w:rPr>
          <w:rFonts w:ascii="Century Gothic" w:hAnsi="Century Gothic"/>
        </w:rPr>
      </w:pPr>
      <w:r w:rsidRPr="003556C1">
        <w:rPr>
          <w:rFonts w:ascii="Century Gothic" w:hAnsi="Century Gothic"/>
        </w:rPr>
        <w:t>Carnaval 2027; e</w:t>
      </w:r>
    </w:p>
    <w:p w:rsidR="00233A96" w:rsidRDefault="001C04B4" w:rsidP="003556C1">
      <w:pPr>
        <w:numPr>
          <w:ilvl w:val="0"/>
          <w:numId w:val="2"/>
        </w:numPr>
        <w:spacing w:before="0" w:after="0" w:line="240" w:lineRule="auto"/>
        <w:ind w:left="141" w:firstLine="425"/>
        <w:rPr>
          <w:rFonts w:ascii="Century Gothic" w:hAnsi="Century Gothic"/>
        </w:rPr>
      </w:pPr>
      <w:r w:rsidRPr="003556C1">
        <w:rPr>
          <w:rFonts w:ascii="Century Gothic" w:hAnsi="Century Gothic"/>
        </w:rPr>
        <w:t>Festa do Colono 2027.</w:t>
      </w:r>
    </w:p>
    <w:p w:rsidR="003556C1" w:rsidRPr="003556C1" w:rsidRDefault="003556C1" w:rsidP="003556C1">
      <w:pPr>
        <w:spacing w:before="0" w:after="0" w:line="240" w:lineRule="auto"/>
        <w:ind w:left="566" w:firstLine="0"/>
        <w:rPr>
          <w:rFonts w:ascii="Century Gothic" w:hAnsi="Century Gothic"/>
        </w:rPr>
      </w:pPr>
    </w:p>
    <w:p w:rsidR="003556C1"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lastRenderedPageBreak/>
        <w:t xml:space="preserve">O objeto possui natureza de </w:t>
      </w:r>
      <w:r w:rsidRPr="003556C1">
        <w:rPr>
          <w:rFonts w:ascii="Century Gothic" w:hAnsi="Century Gothic"/>
          <w:b/>
          <w:bCs/>
        </w:rPr>
        <w:t>serviço técnico de natureza predominantemente intelectual</w:t>
      </w:r>
      <w:r w:rsidRPr="003556C1">
        <w:rPr>
          <w:rFonts w:ascii="Century Gothic" w:hAnsi="Century Gothic"/>
        </w:rPr>
        <w:t>, nos termos do art. 6º, XVIII, da Lei nº 14.133/2021, o que justifica a adoção do critério de julgamento por técnica e preço, conforme art. 36, §1º, da mesma Lei. A natureza intelectual decorre da centralidade do planejamento estratégico, da curadoria artístico-cultural, da gestão executiva integrada, da coordenação de múltiplas frentes operacionais, da comunicação institucional, da aferição de público e da governança contratual, elementos que transcendem a mera prestação de serviços operacionais e exigem expertise qualificada</w:t>
      </w:r>
    </w:p>
    <w:p w:rsidR="00233A96" w:rsidRPr="003556C1" w:rsidRDefault="00233A96" w:rsidP="003556C1">
      <w:pPr>
        <w:spacing w:before="0" w:after="0" w:line="240" w:lineRule="auto"/>
        <w:ind w:left="566" w:firstLine="0"/>
        <w:rPr>
          <w:rFonts w:ascii="Century Gothic" w:hAnsi="Century Gothic"/>
        </w:rPr>
      </w:pPr>
    </w:p>
    <w:p w:rsidR="00233A96" w:rsidRPr="003556C1"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 xml:space="preserve">A contratação adota </w:t>
      </w:r>
      <w:r w:rsidRPr="003556C1">
        <w:rPr>
          <w:rFonts w:ascii="Century Gothic" w:hAnsi="Century Gothic"/>
          <w:b/>
          <w:bCs/>
        </w:rPr>
        <w:t>modelo de remuneração composta</w:t>
      </w:r>
      <w:r w:rsidRPr="003556C1">
        <w:rPr>
          <w:rFonts w:ascii="Century Gothic" w:hAnsi="Century Gothic"/>
        </w:rPr>
        <w:t>, integrado por:</w:t>
      </w:r>
    </w:p>
    <w:p w:rsidR="00233A96" w:rsidRPr="003556C1" w:rsidRDefault="001C04B4" w:rsidP="003556C1">
      <w:pPr>
        <w:numPr>
          <w:ilvl w:val="2"/>
          <w:numId w:val="1"/>
        </w:numPr>
        <w:spacing w:before="0" w:after="0" w:line="240" w:lineRule="auto"/>
        <w:ind w:left="141" w:firstLine="425"/>
        <w:rPr>
          <w:rFonts w:ascii="Century Gothic" w:hAnsi="Century Gothic"/>
        </w:rPr>
      </w:pPr>
      <w:r w:rsidRPr="003556C1">
        <w:rPr>
          <w:rFonts w:ascii="Century Gothic" w:hAnsi="Century Gothic"/>
        </w:rPr>
        <w:t>Parcela Fixa, correspondente aos custos de planejamento, pré-produção, mobilização, coordenação geral, relatórios e obrigações contratuais permanentes, paga mensalmente conforme cronograma de desembolso previsto no Termo de Referência;</w:t>
      </w:r>
    </w:p>
    <w:p w:rsidR="00233A96" w:rsidRDefault="001C04B4" w:rsidP="003556C1">
      <w:pPr>
        <w:numPr>
          <w:ilvl w:val="2"/>
          <w:numId w:val="1"/>
        </w:numPr>
        <w:spacing w:before="0" w:after="0" w:line="240" w:lineRule="auto"/>
        <w:ind w:left="141" w:firstLine="425"/>
        <w:rPr>
          <w:rFonts w:ascii="Century Gothic" w:hAnsi="Century Gothic"/>
        </w:rPr>
      </w:pPr>
      <w:r w:rsidRPr="003556C1">
        <w:rPr>
          <w:rFonts w:ascii="Century Gothic" w:hAnsi="Century Gothic"/>
        </w:rPr>
        <w:t>Parcela Variável, calculada com base no público efetivamente aferido em cada evento, multiplicado pelo per capita contratado e ajustado pelo Fator de Ajuste de Desempenho — FAD, nos termos do Termo de Referência, do Protocolo Operacional Padrão de Aferição de Público (Anexo VI) e do Anexo de Indicadores de Desempenho — KPIs (Anexo V).</w:t>
      </w:r>
    </w:p>
    <w:p w:rsidR="003556C1" w:rsidRPr="003556C1" w:rsidRDefault="003556C1" w:rsidP="003556C1">
      <w:pPr>
        <w:spacing w:before="0" w:after="0" w:line="240" w:lineRule="auto"/>
        <w:ind w:left="566" w:firstLine="0"/>
        <w:rPr>
          <w:rFonts w:ascii="Century Gothic" w:hAnsi="Century Gothic"/>
        </w:rPr>
      </w:pPr>
    </w:p>
    <w:p w:rsidR="00233A96"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b/>
          <w:bCs/>
        </w:rPr>
        <w:t xml:space="preserve">VALOR GLOBAL ESTIMADO: R$35.440.250,00 </w:t>
      </w:r>
      <w:r w:rsidRPr="003556C1">
        <w:rPr>
          <w:rFonts w:ascii="Century Gothic" w:hAnsi="Century Gothic"/>
        </w:rPr>
        <w:t>(trinta e cinco milhões, quatrocentos e quarenta mil e duzentos e cinquenta reais), correspondente ao somatório dos quatro eventos do ciclo, conforme pesquisa formal de preços constante dos autos.</w:t>
      </w:r>
    </w:p>
    <w:p w:rsidR="003556C1" w:rsidRPr="003556C1" w:rsidRDefault="003556C1" w:rsidP="003556C1">
      <w:pPr>
        <w:spacing w:before="0" w:after="0" w:line="240" w:lineRule="auto"/>
        <w:ind w:left="566" w:firstLine="0"/>
        <w:rPr>
          <w:rFonts w:ascii="Century Gothic" w:hAnsi="Century Gothic"/>
        </w:rPr>
      </w:pPr>
    </w:p>
    <w:p w:rsidR="00233A96"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b/>
          <w:bCs/>
        </w:rPr>
        <w:t xml:space="preserve">PER CAPITA DE REFERÊNCIA: R$ 69,49 </w:t>
      </w:r>
      <w:r w:rsidRPr="003556C1">
        <w:rPr>
          <w:rFonts w:ascii="Century Gothic" w:hAnsi="Century Gothic"/>
        </w:rPr>
        <w:t>(sessenta e nove reais e quarenta e nove centavos) por pessoa, fixado pela mediana de quatro cotações convergentes obtidas junto a fornecedores especializados em gestão integrada de eventos de grande porte, conforme metodologia detalhada no Estudo Técnico Preliminar (Anexo II).</w:t>
      </w:r>
    </w:p>
    <w:p w:rsidR="003556C1" w:rsidRPr="003556C1" w:rsidRDefault="003556C1" w:rsidP="003556C1">
      <w:pPr>
        <w:spacing w:before="0" w:after="0" w:line="240" w:lineRule="auto"/>
        <w:ind w:left="566" w:firstLine="0"/>
        <w:rPr>
          <w:rFonts w:ascii="Century Gothic" w:hAnsi="Century Gothic"/>
        </w:rPr>
      </w:pPr>
    </w:p>
    <w:p w:rsidR="003556C1" w:rsidRPr="003556C1" w:rsidRDefault="001C04B4" w:rsidP="00C5392E">
      <w:pPr>
        <w:numPr>
          <w:ilvl w:val="1"/>
          <w:numId w:val="1"/>
        </w:numPr>
        <w:spacing w:before="0" w:after="0" w:line="240" w:lineRule="auto"/>
        <w:ind w:left="141" w:firstLine="425"/>
        <w:rPr>
          <w:rFonts w:ascii="Century Gothic" w:hAnsi="Century Gothic"/>
        </w:rPr>
      </w:pPr>
      <w:r w:rsidRPr="003556C1">
        <w:rPr>
          <w:rFonts w:ascii="Century Gothic" w:hAnsi="Century Gothic"/>
        </w:rPr>
        <w:t>É admitida a formação de consórcios, nos termos do art. 15 da Lei nº 14.133/2021, observadas as condições do item 3 deste Edital.</w:t>
      </w:r>
    </w:p>
    <w:p w:rsidR="003556C1" w:rsidRPr="003556C1" w:rsidRDefault="003556C1" w:rsidP="003556C1">
      <w:pPr>
        <w:spacing w:before="0" w:after="0" w:line="240" w:lineRule="auto"/>
        <w:ind w:left="566" w:firstLine="0"/>
        <w:rPr>
          <w:rFonts w:ascii="Century Gothic" w:hAnsi="Century Gothic"/>
        </w:rPr>
      </w:pPr>
    </w:p>
    <w:p w:rsidR="00233A96"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É admitida a subcontratação parcial do objeto, nos termos do item 10 deste Edital e das regras previstas no Termo de Referência.</w:t>
      </w:r>
    </w:p>
    <w:p w:rsidR="003556C1" w:rsidRDefault="003556C1" w:rsidP="003556C1">
      <w:pPr>
        <w:spacing w:before="0" w:after="0" w:line="240" w:lineRule="auto"/>
        <w:ind w:left="0" w:firstLine="0"/>
        <w:rPr>
          <w:rFonts w:ascii="Century Gothic" w:hAnsi="Century Gothic"/>
        </w:rPr>
      </w:pPr>
    </w:p>
    <w:p w:rsidR="00233A96"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Integram este Edital, para todos os efeitos legais, os Anexos listados ao final deste instrumento, que dele são partes indissociáveis.</w:t>
      </w:r>
    </w:p>
    <w:p w:rsidR="003556C1" w:rsidRPr="003556C1" w:rsidRDefault="003556C1" w:rsidP="003556C1">
      <w:pPr>
        <w:spacing w:before="0" w:after="0" w:line="240" w:lineRule="auto"/>
        <w:ind w:left="0" w:firstLine="0"/>
        <w:rPr>
          <w:rFonts w:ascii="Century Gothic" w:hAnsi="Century Gothic"/>
        </w:rPr>
      </w:pPr>
    </w:p>
    <w:p w:rsidR="00233A96" w:rsidRPr="003556C1" w:rsidRDefault="001C04B4" w:rsidP="003556C1">
      <w:pPr>
        <w:pStyle w:val="Ttulo1"/>
        <w:keepNext w:val="0"/>
        <w:keepLines w:val="0"/>
        <w:numPr>
          <w:ilvl w:val="0"/>
          <w:numId w:val="1"/>
        </w:numPr>
        <w:spacing w:before="0" w:after="0" w:line="240" w:lineRule="auto"/>
        <w:ind w:left="141" w:firstLine="425"/>
        <w:rPr>
          <w:rFonts w:ascii="Century Gothic" w:hAnsi="Century Gothic"/>
          <w:b/>
          <w:bCs/>
          <w:sz w:val="24"/>
          <w:szCs w:val="24"/>
        </w:rPr>
      </w:pPr>
      <w:r w:rsidRPr="003556C1">
        <w:rPr>
          <w:rFonts w:ascii="Century Gothic" w:hAnsi="Century Gothic"/>
          <w:b/>
          <w:bCs/>
          <w:sz w:val="24"/>
          <w:szCs w:val="24"/>
        </w:rPr>
        <w:t>DAS DISPOSIÇÕES PRELIMINARES</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O certame será realizado em sessão pública, por meio da internet, mediante condições de segurança (criptografia e autenticação), por intermédio do sistema eletrônico BNC Compras (</w:t>
      </w:r>
      <w:hyperlink r:id="rId11">
        <w:r w:rsidRPr="003556C1">
          <w:rPr>
            <w:rFonts w:ascii="Century Gothic" w:hAnsi="Century Gothic"/>
            <w:color w:val="1155CC"/>
            <w:sz w:val="24"/>
            <w:szCs w:val="24"/>
            <w:u w:val="single"/>
          </w:rPr>
          <w:t>https://bnccompras.com/</w:t>
        </w:r>
      </w:hyperlink>
      <w:r w:rsidRPr="003556C1">
        <w:rPr>
          <w:rFonts w:ascii="Century Gothic" w:hAnsi="Century Gothic"/>
          <w:sz w:val="24"/>
          <w:szCs w:val="24"/>
        </w:rPr>
        <w:t>).</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lastRenderedPageBreak/>
        <w:t>A licitação será regida pela Lei nº 14.133/2021 e demais normas legais e regulamentares aplicáveis, inclusive a Lei Complementar nº 123/2006, no que couber.</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O julgamento observará estritamente as fórmulas, critérios, pesos e procedimentos definidos neste Edital e na Matriz de Critérios de Avaliação — MCA (Anexo III), sendo vedada a utilização de critérios não previstos ou de elementos externos às propostas.</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 sessão pública poderá ser suspensa e retomada mediante comunicação prévia aos licitantes, por meio da plataforma eletrônica e do e-mail cadastrado.</w:t>
      </w: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Todos os horários estabelecidos neste Edital e na sessão pública observarão o horário oficial de Brasília (DF).</w:t>
      </w:r>
    </w:p>
    <w:p w:rsidR="003556C1" w:rsidRPr="003556C1" w:rsidRDefault="003556C1" w:rsidP="003556C1">
      <w:pPr>
        <w:rPr>
          <w:sz w:val="2"/>
        </w:rPr>
      </w:pPr>
    </w:p>
    <w:p w:rsidR="00233A96" w:rsidRPr="003556C1" w:rsidRDefault="001C04B4" w:rsidP="003556C1">
      <w:pPr>
        <w:pStyle w:val="Ttulo1"/>
        <w:keepNext w:val="0"/>
        <w:keepLines w:val="0"/>
        <w:numPr>
          <w:ilvl w:val="0"/>
          <w:numId w:val="1"/>
        </w:numPr>
        <w:spacing w:before="0" w:after="0" w:line="240" w:lineRule="auto"/>
        <w:ind w:left="141" w:firstLine="425"/>
        <w:rPr>
          <w:rFonts w:ascii="Century Gothic" w:hAnsi="Century Gothic"/>
          <w:b/>
          <w:bCs/>
          <w:sz w:val="24"/>
          <w:szCs w:val="24"/>
        </w:rPr>
      </w:pPr>
      <w:r w:rsidRPr="003556C1">
        <w:rPr>
          <w:rFonts w:ascii="Century Gothic" w:hAnsi="Century Gothic"/>
          <w:b/>
          <w:bCs/>
          <w:sz w:val="24"/>
          <w:szCs w:val="24"/>
        </w:rPr>
        <w:t>DAS CONDIÇÕES DE PARTICIPAÇÃO</w:t>
      </w:r>
    </w:p>
    <w:p w:rsid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Poderão participar deste certame pessoas jurídicas regularmente estabelecidas no País, que sejam especializadas no objeto licitado, estejam devidamente cadastradas e credenciadas na plataforma BNC, e satisfaçam todas as exigências deste Edital e seus Anexos.</w:t>
      </w:r>
    </w:p>
    <w:p w:rsidR="003556C1" w:rsidRPr="003556C1" w:rsidRDefault="003556C1" w:rsidP="003556C1">
      <w:pPr>
        <w:rPr>
          <w:sz w:val="2"/>
        </w:rPr>
      </w:pP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b/>
          <w:bCs/>
          <w:sz w:val="24"/>
          <w:szCs w:val="24"/>
        </w:rPr>
        <w:t>Participação em consórcio</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É admitida a participação de consórcios de até 3 (três) empresas, desde que observadas, cumulativamente, as seguintes condições:</w:t>
      </w:r>
    </w:p>
    <w:p w:rsidR="00233A96" w:rsidRPr="003556C1" w:rsidRDefault="001C04B4" w:rsidP="003556C1">
      <w:pPr>
        <w:pStyle w:val="Ttulo1"/>
        <w:keepNext w:val="0"/>
        <w:keepLines w:val="0"/>
        <w:numPr>
          <w:ilvl w:val="3"/>
          <w:numId w:val="1"/>
        </w:numPr>
        <w:spacing w:before="0" w:after="0" w:line="240" w:lineRule="auto"/>
        <w:ind w:hanging="360"/>
        <w:rPr>
          <w:rFonts w:ascii="Century Gothic" w:hAnsi="Century Gothic"/>
          <w:sz w:val="24"/>
          <w:szCs w:val="24"/>
        </w:rPr>
      </w:pPr>
      <w:r w:rsidRPr="003556C1">
        <w:rPr>
          <w:rFonts w:ascii="Century Gothic" w:hAnsi="Century Gothic"/>
          <w:sz w:val="24"/>
          <w:szCs w:val="24"/>
        </w:rPr>
        <w:t>apresentação de compromisso público ou particular de constituição de consórcio, subscrito por todas as consorciadas, com indicação da empresa líder e do respectivo representante legal, nos termos do art. 15, §1º, da Lei nº 14.133/2021;</w:t>
      </w:r>
    </w:p>
    <w:p w:rsidR="00233A96" w:rsidRPr="003556C1" w:rsidRDefault="001C04B4" w:rsidP="003556C1">
      <w:pPr>
        <w:pStyle w:val="Ttulo1"/>
        <w:keepNext w:val="0"/>
        <w:keepLines w:val="0"/>
        <w:numPr>
          <w:ilvl w:val="3"/>
          <w:numId w:val="1"/>
        </w:numPr>
        <w:spacing w:before="0" w:after="0" w:line="240" w:lineRule="auto"/>
        <w:ind w:hanging="360"/>
        <w:rPr>
          <w:rFonts w:ascii="Century Gothic" w:hAnsi="Century Gothic"/>
          <w:sz w:val="24"/>
          <w:szCs w:val="24"/>
        </w:rPr>
      </w:pPr>
      <w:r w:rsidRPr="003556C1">
        <w:rPr>
          <w:rFonts w:ascii="Century Gothic" w:hAnsi="Century Gothic"/>
          <w:sz w:val="24"/>
          <w:szCs w:val="24"/>
        </w:rPr>
        <w:t>indicação da empresa líder, que será responsável pela interlocução com a Administração, pela coordenação da execução e pela representação do consórcio perante a fiscalização;</w:t>
      </w:r>
    </w:p>
    <w:p w:rsidR="00233A96" w:rsidRPr="003556C1" w:rsidRDefault="001C04B4" w:rsidP="003556C1">
      <w:pPr>
        <w:pStyle w:val="Ttulo1"/>
        <w:keepNext w:val="0"/>
        <w:keepLines w:val="0"/>
        <w:numPr>
          <w:ilvl w:val="3"/>
          <w:numId w:val="1"/>
        </w:numPr>
        <w:spacing w:before="0" w:after="0" w:line="240" w:lineRule="auto"/>
        <w:ind w:hanging="360"/>
        <w:rPr>
          <w:rFonts w:ascii="Century Gothic" w:hAnsi="Century Gothic"/>
          <w:sz w:val="24"/>
          <w:szCs w:val="24"/>
        </w:rPr>
      </w:pPr>
      <w:r w:rsidRPr="003556C1">
        <w:rPr>
          <w:rFonts w:ascii="Century Gothic" w:hAnsi="Century Gothic"/>
          <w:sz w:val="24"/>
          <w:szCs w:val="24"/>
        </w:rPr>
        <w:t>comprovação de habilitação jurídica e regularidade fiscal e trabalhista por cada consorciada, de forma individualizada;</w:t>
      </w:r>
    </w:p>
    <w:p w:rsidR="00233A96" w:rsidRPr="003556C1" w:rsidRDefault="001C04B4" w:rsidP="003556C1">
      <w:pPr>
        <w:pStyle w:val="Ttulo1"/>
        <w:keepNext w:val="0"/>
        <w:keepLines w:val="0"/>
        <w:numPr>
          <w:ilvl w:val="3"/>
          <w:numId w:val="1"/>
        </w:numPr>
        <w:spacing w:before="0" w:after="0" w:line="240" w:lineRule="auto"/>
        <w:ind w:hanging="360"/>
        <w:rPr>
          <w:rFonts w:ascii="Century Gothic" w:hAnsi="Century Gothic"/>
          <w:sz w:val="24"/>
          <w:szCs w:val="24"/>
        </w:rPr>
      </w:pPr>
      <w:r w:rsidRPr="003556C1">
        <w:rPr>
          <w:rFonts w:ascii="Century Gothic" w:hAnsi="Century Gothic"/>
          <w:sz w:val="24"/>
          <w:szCs w:val="24"/>
        </w:rPr>
        <w:t>comprovação de qualificação técnica pelo somatório dos quantitativos das consorciadas, admitindo-se acréscimo de até 30% nos requisitos de habilitação econômico-financeira, nos termos do art. 15, §3º, da Lei nº 14.133/2021;</w:t>
      </w:r>
    </w:p>
    <w:p w:rsidR="00233A96" w:rsidRPr="003556C1" w:rsidRDefault="001C04B4" w:rsidP="003556C1">
      <w:pPr>
        <w:pStyle w:val="Ttulo1"/>
        <w:keepNext w:val="0"/>
        <w:keepLines w:val="0"/>
        <w:numPr>
          <w:ilvl w:val="3"/>
          <w:numId w:val="1"/>
        </w:numPr>
        <w:spacing w:before="0" w:after="0" w:line="240" w:lineRule="auto"/>
        <w:ind w:hanging="360"/>
        <w:rPr>
          <w:rFonts w:ascii="Century Gothic" w:hAnsi="Century Gothic"/>
          <w:sz w:val="24"/>
          <w:szCs w:val="24"/>
        </w:rPr>
      </w:pPr>
      <w:r w:rsidRPr="003556C1">
        <w:rPr>
          <w:rFonts w:ascii="Century Gothic" w:hAnsi="Century Gothic"/>
          <w:sz w:val="24"/>
          <w:szCs w:val="24"/>
        </w:rPr>
        <w:t>responsabilidade solidária das consorciadas pelas obrigações contratuais, nos termos do art. 15, §4º, da Lei nº 14.133/2021;</w:t>
      </w:r>
    </w:p>
    <w:p w:rsidR="00233A96" w:rsidRDefault="001C04B4" w:rsidP="003556C1">
      <w:pPr>
        <w:pStyle w:val="Ttulo1"/>
        <w:keepNext w:val="0"/>
        <w:keepLines w:val="0"/>
        <w:numPr>
          <w:ilvl w:val="3"/>
          <w:numId w:val="1"/>
        </w:numPr>
        <w:spacing w:before="0" w:after="0" w:line="240" w:lineRule="auto"/>
        <w:ind w:hanging="360"/>
        <w:rPr>
          <w:rFonts w:ascii="Century Gothic" w:hAnsi="Century Gothic"/>
          <w:sz w:val="24"/>
          <w:szCs w:val="24"/>
        </w:rPr>
      </w:pPr>
      <w:r w:rsidRPr="003556C1">
        <w:rPr>
          <w:rFonts w:ascii="Century Gothic" w:hAnsi="Century Gothic"/>
          <w:sz w:val="24"/>
          <w:szCs w:val="24"/>
        </w:rPr>
        <w:t>vedação à participação de consorciada, isoladamente ou em mais de um consórcio, nesta mesma licitação.</w:t>
      </w:r>
    </w:p>
    <w:p w:rsidR="003556C1" w:rsidRPr="003556C1" w:rsidRDefault="003556C1" w:rsidP="003556C1">
      <w:pPr>
        <w:rPr>
          <w:sz w:val="2"/>
        </w:rPr>
      </w:pPr>
    </w:p>
    <w:p w:rsidR="00233A96" w:rsidRPr="003556C1"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Não poderão participar da presente licitação, direta ou indiretamente, pessoas jurídicas:</w:t>
      </w:r>
    </w:p>
    <w:p w:rsidR="00233A96" w:rsidRPr="003556C1" w:rsidRDefault="001C04B4" w:rsidP="003556C1">
      <w:pPr>
        <w:numPr>
          <w:ilvl w:val="2"/>
          <w:numId w:val="1"/>
        </w:numPr>
        <w:spacing w:before="0" w:after="0" w:line="240" w:lineRule="auto"/>
        <w:ind w:left="141" w:firstLine="425"/>
        <w:rPr>
          <w:rFonts w:ascii="Century Gothic" w:hAnsi="Century Gothic"/>
        </w:rPr>
      </w:pPr>
      <w:r w:rsidRPr="003556C1">
        <w:rPr>
          <w:rFonts w:ascii="Century Gothic" w:hAnsi="Century Gothic"/>
        </w:rPr>
        <w:lastRenderedPageBreak/>
        <w:t>sob falência, recuperação judicial ou extrajudicial, concordata, concurso de credores, dissolução ou liquidação;</w:t>
      </w:r>
    </w:p>
    <w:p w:rsidR="00233A96" w:rsidRPr="003556C1" w:rsidRDefault="001C04B4" w:rsidP="003556C1">
      <w:pPr>
        <w:numPr>
          <w:ilvl w:val="2"/>
          <w:numId w:val="1"/>
        </w:numPr>
        <w:spacing w:before="0" w:after="0" w:line="240" w:lineRule="auto"/>
        <w:ind w:left="141" w:firstLine="425"/>
        <w:rPr>
          <w:rFonts w:ascii="Century Gothic" w:hAnsi="Century Gothic"/>
        </w:rPr>
      </w:pPr>
      <w:r w:rsidRPr="003556C1">
        <w:rPr>
          <w:rFonts w:ascii="Century Gothic" w:hAnsi="Century Gothic"/>
        </w:rPr>
        <w:t>suspensas de participar de licitação ou impedidas de contratar com a Administração Pública, nos termos dos arts. 155 e 156 da Lei nº 14.133/2021;</w:t>
      </w:r>
    </w:p>
    <w:p w:rsidR="00233A96" w:rsidRPr="003556C1" w:rsidRDefault="001C04B4" w:rsidP="003556C1">
      <w:pPr>
        <w:numPr>
          <w:ilvl w:val="2"/>
          <w:numId w:val="1"/>
        </w:numPr>
        <w:spacing w:before="0" w:after="0" w:line="240" w:lineRule="auto"/>
        <w:ind w:left="141" w:firstLine="425"/>
        <w:rPr>
          <w:rFonts w:ascii="Century Gothic" w:hAnsi="Century Gothic"/>
        </w:rPr>
      </w:pPr>
      <w:r w:rsidRPr="003556C1">
        <w:rPr>
          <w:rFonts w:ascii="Century Gothic" w:hAnsi="Century Gothic"/>
        </w:rPr>
        <w:t>declaradas inidôneas para licitar ou contratar com a Administração Pública;</w:t>
      </w:r>
    </w:p>
    <w:p w:rsidR="00233A96" w:rsidRPr="003556C1" w:rsidRDefault="001C04B4" w:rsidP="003556C1">
      <w:pPr>
        <w:numPr>
          <w:ilvl w:val="2"/>
          <w:numId w:val="1"/>
        </w:numPr>
        <w:spacing w:before="0" w:after="0" w:line="240" w:lineRule="auto"/>
        <w:ind w:left="141" w:firstLine="425"/>
        <w:rPr>
          <w:rFonts w:ascii="Century Gothic" w:hAnsi="Century Gothic"/>
        </w:rPr>
      </w:pPr>
      <w:r w:rsidRPr="003556C1">
        <w:rPr>
          <w:rFonts w:ascii="Century Gothic" w:hAnsi="Century Gothic"/>
        </w:rPr>
        <w:t>cujo sócio, dirigente, preposto ou empregado seja cônjuge, companheiro ou parente em linha reta, colateral ou por afinidade, até terceiro grau, do Prefeito, Vice-Prefeito, Secretários, cargos assemelhados ou servidor investido em cargo comissionado no Município de Itajaí, nos termos da legislação municipal;</w:t>
      </w:r>
    </w:p>
    <w:p w:rsidR="00233A96" w:rsidRPr="003556C1" w:rsidRDefault="001C04B4" w:rsidP="003556C1">
      <w:pPr>
        <w:numPr>
          <w:ilvl w:val="2"/>
          <w:numId w:val="1"/>
        </w:numPr>
        <w:spacing w:before="0" w:after="0" w:line="240" w:lineRule="auto"/>
        <w:ind w:left="141" w:firstLine="425"/>
        <w:rPr>
          <w:rFonts w:ascii="Century Gothic" w:hAnsi="Century Gothic"/>
        </w:rPr>
      </w:pPr>
      <w:r w:rsidRPr="003556C1">
        <w:rPr>
          <w:rFonts w:ascii="Century Gothic" w:hAnsi="Century Gothic"/>
        </w:rPr>
        <w:t>cujo administrador ou sócio detentor de poder decisório participe como membro da Comissão de Licitações ou como fiscal do contrato;</w:t>
      </w:r>
    </w:p>
    <w:p w:rsidR="00233A96" w:rsidRPr="003556C1" w:rsidRDefault="001C04B4" w:rsidP="003556C1">
      <w:pPr>
        <w:numPr>
          <w:ilvl w:val="2"/>
          <w:numId w:val="1"/>
        </w:numPr>
        <w:spacing w:before="0" w:after="0" w:line="240" w:lineRule="auto"/>
        <w:ind w:left="141" w:firstLine="425"/>
        <w:rPr>
          <w:rFonts w:ascii="Century Gothic" w:hAnsi="Century Gothic"/>
        </w:rPr>
      </w:pPr>
      <w:r w:rsidRPr="003556C1">
        <w:rPr>
          <w:rFonts w:ascii="Century Gothic" w:hAnsi="Century Gothic"/>
        </w:rPr>
        <w:t>estrangeiras que não funcionem no País;</w:t>
      </w:r>
    </w:p>
    <w:p w:rsidR="00233A96" w:rsidRDefault="001C04B4" w:rsidP="003556C1">
      <w:pPr>
        <w:numPr>
          <w:ilvl w:val="2"/>
          <w:numId w:val="1"/>
        </w:numPr>
        <w:spacing w:before="0" w:after="0" w:line="240" w:lineRule="auto"/>
        <w:ind w:left="141" w:firstLine="425"/>
        <w:rPr>
          <w:rFonts w:ascii="Century Gothic" w:hAnsi="Century Gothic"/>
        </w:rPr>
      </w:pPr>
      <w:r w:rsidRPr="003556C1">
        <w:rPr>
          <w:rFonts w:ascii="Century Gothic" w:hAnsi="Century Gothic"/>
        </w:rPr>
        <w:t>enquadradas nas vedações do art. 14 da Lei nº 14.133/2021.</w:t>
      </w:r>
    </w:p>
    <w:p w:rsidR="003556C1" w:rsidRPr="003556C1" w:rsidRDefault="003556C1" w:rsidP="003556C1">
      <w:pPr>
        <w:spacing w:before="0" w:after="0" w:line="240" w:lineRule="auto"/>
        <w:ind w:left="566" w:firstLine="0"/>
        <w:rPr>
          <w:rFonts w:ascii="Century Gothic" w:hAnsi="Century Gothic"/>
        </w:rPr>
      </w:pPr>
    </w:p>
    <w:p w:rsidR="00233A96" w:rsidRPr="003556C1"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A microempresa ou empresa de pequeno porte deverá apresentar Certidão Simplificada da Junta Comercial do Estado da sede, com prazo de emissão de até 90 dias, e informar seu regime tributário no momento do cadastramento da proposta, para fins de aplicação do tratamento diferenciado previsto na LC nº 123/2006.</w:t>
      </w:r>
    </w:p>
    <w:p w:rsidR="00675215" w:rsidRPr="003556C1" w:rsidRDefault="00675215" w:rsidP="003556C1">
      <w:pPr>
        <w:spacing w:before="0" w:after="0" w:line="240" w:lineRule="auto"/>
        <w:ind w:left="566" w:firstLine="0"/>
        <w:rPr>
          <w:rFonts w:ascii="Century Gothic" w:hAnsi="Century Gothic"/>
        </w:rPr>
      </w:pPr>
    </w:p>
    <w:p w:rsidR="00675215" w:rsidRPr="003556C1" w:rsidRDefault="00675215" w:rsidP="003556C1">
      <w:pPr>
        <w:spacing w:before="0" w:after="0" w:line="240" w:lineRule="auto"/>
        <w:ind w:left="566" w:firstLine="0"/>
        <w:rPr>
          <w:rFonts w:ascii="Century Gothic" w:hAnsi="Century Gothic"/>
        </w:rPr>
      </w:pPr>
    </w:p>
    <w:p w:rsidR="00233A96" w:rsidRPr="003556C1" w:rsidRDefault="001C04B4" w:rsidP="003556C1">
      <w:pPr>
        <w:pStyle w:val="Ttulo1"/>
        <w:keepNext w:val="0"/>
        <w:keepLines w:val="0"/>
        <w:numPr>
          <w:ilvl w:val="0"/>
          <w:numId w:val="1"/>
        </w:numPr>
        <w:spacing w:before="0" w:after="0" w:line="240" w:lineRule="auto"/>
        <w:ind w:left="141" w:firstLine="425"/>
        <w:rPr>
          <w:rFonts w:ascii="Century Gothic" w:hAnsi="Century Gothic"/>
          <w:b/>
          <w:bCs/>
          <w:sz w:val="24"/>
          <w:szCs w:val="24"/>
        </w:rPr>
      </w:pPr>
      <w:r w:rsidRPr="003556C1">
        <w:rPr>
          <w:rFonts w:ascii="Century Gothic" w:hAnsi="Century Gothic"/>
          <w:b/>
          <w:bCs/>
          <w:sz w:val="24"/>
          <w:szCs w:val="24"/>
        </w:rPr>
        <w:t>DO CREDENCIAMENTO E DO REGULAMENTO OPERACIONAL</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O certame será conduzido pelo Presidente da Comissão de Contratação, designado nos termos do art. 8º da Lei nº 14.133/2021, composta por, no mínimo, 3 (três) membros, com as seguintes atribuições:</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responder às questões formuladas pelos licitantes relativas ao certame;</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abrir as propostas técnicas e de preços;</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analisar a aceitabilidade e exequibilidade das propostas;</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desclassificar propostas, indicando os motivos;</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conduzir os procedimentos de avaliação técnica, conforme a Matriz de Critérios de Avaliação — MCA (Anexo III);</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verificar a habilitação do licitante melhor classificado;</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declarar o vencedor;</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receber, examinar e decidir sobre a pertinência dos recursos;</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elaborar a ata da sessão;</w:t>
      </w:r>
    </w:p>
    <w:p w:rsidR="00233A96"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encaminhar o processo à autoridade superior para homologação e autorização da contratação.</w:t>
      </w:r>
    </w:p>
    <w:p w:rsidR="003556C1" w:rsidRPr="003556C1" w:rsidRDefault="003556C1" w:rsidP="003556C1">
      <w:pPr>
        <w:ind w:left="0" w:firstLine="0"/>
        <w:rPr>
          <w:sz w:val="2"/>
        </w:rPr>
      </w:pPr>
    </w:p>
    <w:p w:rsidR="00233A96" w:rsidRPr="003556C1"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As pessoas jurídicas interessadas deverão cadastrar operador devidamente credenciado junto ao sistema BNC, atribuindo-lhe poderes para formular propostas técnicas e de preços e praticar todos os demais atos e operações inerentes ao certame.</w:t>
      </w:r>
    </w:p>
    <w:p w:rsidR="00233A96"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lastRenderedPageBreak/>
        <w:t>A participação do licitante resulta no pleno conhecimento, aceitação e atendimento às exigências de habilitação e às condições previstas neste Edital e seus Anexos.</w:t>
      </w:r>
    </w:p>
    <w:p w:rsidR="003556C1" w:rsidRPr="003556C1" w:rsidRDefault="003556C1" w:rsidP="003556C1">
      <w:pPr>
        <w:spacing w:before="0" w:after="0" w:line="240" w:lineRule="auto"/>
        <w:ind w:left="566" w:firstLine="0"/>
        <w:rPr>
          <w:rFonts w:ascii="Century Gothic" w:hAnsi="Century Gothic"/>
        </w:rPr>
      </w:pPr>
    </w:p>
    <w:p w:rsidR="00233A96"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O acesso do operador ao certame somente se dará mediante prévia definição de senha privativa. É de exclusiva responsabilidade do usuário o sigilo da senha, bem como seu uso em qualquer transação, não cabendo à plataforma eletrônica responsabilidade por danos decorrentes de uso indevido, ainda que por terceiros.</w:t>
      </w:r>
    </w:p>
    <w:p w:rsidR="003556C1" w:rsidRPr="003556C1" w:rsidRDefault="003556C1" w:rsidP="003556C1">
      <w:pPr>
        <w:spacing w:before="0" w:after="0" w:line="240" w:lineRule="auto"/>
        <w:ind w:left="566" w:firstLine="0"/>
        <w:rPr>
          <w:rFonts w:ascii="Century Gothic" w:hAnsi="Century Gothic"/>
        </w:rPr>
      </w:pPr>
    </w:p>
    <w:p w:rsidR="00233A96"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O credenciamento do licitante e de seu representante legal junto ao sistema eletrônico implica responsabilidade legal pelos atos praticados e presunção de capacidade técnica para realização das transações inerentes ao certame.</w:t>
      </w:r>
    </w:p>
    <w:p w:rsidR="003556C1" w:rsidRDefault="003556C1" w:rsidP="003556C1">
      <w:pPr>
        <w:spacing w:before="0" w:after="0" w:line="240" w:lineRule="auto"/>
        <w:ind w:left="0" w:firstLine="0"/>
        <w:rPr>
          <w:rFonts w:ascii="Century Gothic" w:hAnsi="Century Gothic"/>
        </w:rPr>
      </w:pPr>
    </w:p>
    <w:p w:rsidR="00233A96"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No modo de disputa fechado, a proposta será única e sigilosa, aberta simultaneamente ao final, sem lances sucessivos, nos termos do art. 56, §1º, da Lei nº 14.133/2021.</w:t>
      </w:r>
    </w:p>
    <w:p w:rsidR="003556C1" w:rsidRPr="003556C1" w:rsidRDefault="003556C1" w:rsidP="003556C1">
      <w:pPr>
        <w:spacing w:before="0" w:after="0" w:line="240" w:lineRule="auto"/>
        <w:ind w:left="0" w:firstLine="0"/>
        <w:rPr>
          <w:rFonts w:ascii="Century Gothic" w:hAnsi="Century Gothic"/>
        </w:rPr>
      </w:pPr>
    </w:p>
    <w:p w:rsidR="00233A96"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Caberá ao licitante acompanhar as operações no sistema eletrônico durante a sessão pública, ficando responsável pelo ônus decorrente da perda de negócios diante da inobservância de quaisquer mensagens emitidas pelo sistema ou da desconexão do seu representante.</w:t>
      </w:r>
    </w:p>
    <w:p w:rsidR="003556C1" w:rsidRPr="003556C1" w:rsidRDefault="003556C1" w:rsidP="003556C1">
      <w:pPr>
        <w:spacing w:before="0" w:after="0" w:line="240" w:lineRule="auto"/>
        <w:ind w:left="0" w:firstLine="0"/>
        <w:rPr>
          <w:rFonts w:ascii="Century Gothic" w:hAnsi="Century Gothic"/>
        </w:rPr>
      </w:pPr>
    </w:p>
    <w:p w:rsidR="00233A96"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No caso de desconexão do Presidente da Comissão no decorrer da etapa competitiva, o sistema poderá permanecer acessível aos licitantes. Quando a desconexão persistir por tempo superior a 10 (dez) minutos, a sessão será suspensa e terá reinício somente após comunicação expressa aos participantes.</w:t>
      </w:r>
    </w:p>
    <w:p w:rsidR="003556C1" w:rsidRPr="003556C1" w:rsidRDefault="003556C1" w:rsidP="003556C1">
      <w:pPr>
        <w:spacing w:before="0" w:after="0" w:line="240" w:lineRule="auto"/>
        <w:ind w:left="0" w:firstLine="0"/>
        <w:rPr>
          <w:rFonts w:ascii="Century Gothic" w:hAnsi="Century Gothic"/>
        </w:rPr>
      </w:pPr>
    </w:p>
    <w:p w:rsidR="00233A96" w:rsidRPr="003556C1" w:rsidRDefault="001C04B4" w:rsidP="003556C1">
      <w:pPr>
        <w:pStyle w:val="Ttulo1"/>
        <w:keepNext w:val="0"/>
        <w:keepLines w:val="0"/>
        <w:numPr>
          <w:ilvl w:val="0"/>
          <w:numId w:val="1"/>
        </w:numPr>
        <w:spacing w:before="0" w:after="0" w:line="240" w:lineRule="auto"/>
        <w:ind w:left="141" w:firstLine="425"/>
        <w:rPr>
          <w:rFonts w:ascii="Century Gothic" w:hAnsi="Century Gothic"/>
          <w:b/>
          <w:bCs/>
          <w:sz w:val="24"/>
          <w:szCs w:val="24"/>
        </w:rPr>
      </w:pPr>
      <w:r w:rsidRPr="003556C1">
        <w:rPr>
          <w:rFonts w:ascii="Century Gothic" w:hAnsi="Century Gothic"/>
          <w:b/>
          <w:bCs/>
          <w:sz w:val="24"/>
          <w:szCs w:val="24"/>
        </w:rPr>
        <w:t>DA PROPOSTA NO SISTEMA ELETRÔNICO</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O encaminhamento de proposta pressupõe o pleno conhecimento e atendimento às exigências de habilitação e às condições do Edital. O licitante será responsável por todas as transações efetuadas em seu nome, assumindo como firmes e verdadeiras suas propostas, inclusive técnica.</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 validade das propostas será de 90 (noventa) dias consecutivos, contados da data de abertura da sessão pública, prorrogáveis por igual período mediante solicitação da Administração e concordância do licitante.</w:t>
      </w:r>
    </w:p>
    <w:p w:rsid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As propostas deverão ser redigidas em língua portuguesa, com valores expressos em moeda corrente nacional (Real — R$).</w:t>
      </w:r>
    </w:p>
    <w:p w:rsidR="003556C1" w:rsidRPr="003556C1" w:rsidRDefault="003556C1" w:rsidP="003556C1">
      <w:pPr>
        <w:rPr>
          <w:sz w:val="2"/>
        </w:rPr>
      </w:pPr>
    </w:p>
    <w:p w:rsidR="00233A96" w:rsidRPr="003556C1" w:rsidRDefault="001C04B4" w:rsidP="003556C1">
      <w:pPr>
        <w:pStyle w:val="Ttulo1"/>
        <w:keepNext w:val="0"/>
        <w:keepLines w:val="0"/>
        <w:numPr>
          <w:ilvl w:val="0"/>
          <w:numId w:val="1"/>
        </w:numPr>
        <w:spacing w:before="0" w:after="0" w:line="240" w:lineRule="auto"/>
        <w:ind w:left="141" w:firstLine="425"/>
        <w:rPr>
          <w:rFonts w:ascii="Century Gothic" w:hAnsi="Century Gothic"/>
          <w:b/>
          <w:bCs/>
          <w:sz w:val="24"/>
          <w:szCs w:val="24"/>
        </w:rPr>
      </w:pPr>
      <w:r w:rsidRPr="003556C1">
        <w:rPr>
          <w:rFonts w:ascii="Century Gothic" w:hAnsi="Century Gothic"/>
          <w:b/>
          <w:bCs/>
          <w:sz w:val="24"/>
          <w:szCs w:val="24"/>
        </w:rPr>
        <w:t>DA PROPOSTA TÉCNICA</w:t>
      </w: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 xml:space="preserve">A Proposta Técnica deverá ser apresentada em formato digital, organizada conforme o Modelo de Proposta Técnica (Anexo XI) e a Matriz </w:t>
      </w:r>
      <w:r w:rsidRPr="003556C1">
        <w:rPr>
          <w:rFonts w:ascii="Century Gothic" w:hAnsi="Century Gothic"/>
          <w:sz w:val="24"/>
          <w:szCs w:val="24"/>
        </w:rPr>
        <w:lastRenderedPageBreak/>
        <w:t>de Critérios de Avaliação — MCA (Anexo III), que disciplinam, respectivamente, a estrutura formal obrigatória e os critérios, subcritérios, pesos, metodologia de avaliação e docum</w:t>
      </w:r>
      <w:r w:rsidR="003556C1">
        <w:rPr>
          <w:rFonts w:ascii="Century Gothic" w:hAnsi="Century Gothic"/>
          <w:sz w:val="24"/>
          <w:szCs w:val="24"/>
        </w:rPr>
        <w:t>entação comprobatória exigível.</w:t>
      </w:r>
    </w:p>
    <w:p w:rsidR="003556C1" w:rsidRPr="003556C1" w:rsidRDefault="003556C1" w:rsidP="003556C1">
      <w:pPr>
        <w:rPr>
          <w:sz w:val="2"/>
        </w:rPr>
      </w:pP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 Proposta Técnica deverá conter, no mínimo, os seguintes elementos:</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b/>
          <w:bCs/>
          <w:sz w:val="24"/>
          <w:szCs w:val="24"/>
        </w:rPr>
        <w:t xml:space="preserve">Plano de Gestão Integrada dos Eventos — </w:t>
      </w:r>
      <w:r w:rsidRPr="003556C1">
        <w:rPr>
          <w:rFonts w:ascii="Century Gothic" w:hAnsi="Century Gothic"/>
          <w:sz w:val="24"/>
          <w:szCs w:val="24"/>
        </w:rPr>
        <w:t>documento-base que demonstre a capacidade do licitante de planejar, coordenar e executar os quatro eventos do ciclo de forma articulada, com metodologia de gestão, cronograma macro/conceitual e layout conceitual/esquemático (preliminar), governança operacional, matriz de responsabilidades, gestão de riscos, plano de contingência e estratégia de comunicação interinstitucional com a SETUR;</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b/>
          <w:bCs/>
          <w:sz w:val="24"/>
          <w:szCs w:val="24"/>
        </w:rPr>
        <w:t xml:space="preserve">Plano de Aferição de Público — </w:t>
      </w:r>
      <w:r w:rsidRPr="003556C1">
        <w:rPr>
          <w:rFonts w:ascii="Century Gothic" w:hAnsi="Century Gothic"/>
          <w:sz w:val="24"/>
          <w:szCs w:val="24"/>
        </w:rPr>
        <w:t>descrição da metodologia, fontes de dados, ferramentas tecnológicas, critérios de validação cruzada e compromisso com o cumprimento integral do Protocolo Operacional Padrão de Aferição de Público (Anexo VI), que disciplina a contagem, consolidação e auditoria dos dados utilizados para cálculo da Parcela Variável;</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b/>
          <w:bCs/>
          <w:sz w:val="24"/>
          <w:szCs w:val="24"/>
        </w:rPr>
        <w:t xml:space="preserve">Plano de Segurança, Saúde e Emergência — </w:t>
      </w:r>
      <w:r w:rsidRPr="003556C1">
        <w:rPr>
          <w:rFonts w:ascii="Century Gothic" w:hAnsi="Century Gothic"/>
          <w:sz w:val="24"/>
          <w:szCs w:val="24"/>
        </w:rPr>
        <w:t>dimensionamento de brigada conforme ABNT NBR 14276, atendimento pré-hospitalar (tempo-meta de resposta de até 5 minutos), plano de evacuação, articulação prévia com PM-SC, SAMU, Defesa Civil e Corpo de Bombeiros, conformidade do PPCI e protocolo de resposta a incidentes;</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b/>
          <w:bCs/>
          <w:sz w:val="24"/>
          <w:szCs w:val="24"/>
        </w:rPr>
        <w:t xml:space="preserve">Plano de Comunicação e Promoção Turística — </w:t>
      </w:r>
      <w:r w:rsidRPr="003556C1">
        <w:rPr>
          <w:rFonts w:ascii="Century Gothic" w:hAnsi="Century Gothic"/>
          <w:sz w:val="24"/>
          <w:szCs w:val="24"/>
        </w:rPr>
        <w:t>estratégia de divulgação, posicionamento da marca-mãe Maix Quirida, metas de alcance (mínimo de 5.000.000 impressões/evento), engajamento em redes sociais (meta mínima de 5%), cobertura de mídia espontânea, análise de sentimento e cronograma de entregas;</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b/>
          <w:bCs/>
          <w:sz w:val="24"/>
          <w:szCs w:val="24"/>
        </w:rPr>
        <w:t xml:space="preserve">Plano de Acessibilidade e Inclusão — </w:t>
      </w:r>
      <w:r w:rsidRPr="003556C1">
        <w:rPr>
          <w:rFonts w:ascii="Century Gothic" w:hAnsi="Century Gothic"/>
          <w:sz w:val="24"/>
          <w:szCs w:val="24"/>
        </w:rPr>
        <w:t>detalhamento dos recursos de acessibilidade, incluindo sanitários adaptados (mínimo 5% do total), rotas acessíveis sinalizadas (100%), intérpretes de Libras nos palcos principais, áreas reservadas para PCD (mínimo 2% da área útil), mapa tátil e cadastro de atendimento, em conformidade com a Lei nº 13.146/2015;</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b/>
          <w:bCs/>
          <w:sz w:val="24"/>
          <w:szCs w:val="24"/>
        </w:rPr>
        <w:t xml:space="preserve">Plano Socioambiental e de Gestão de Resíduos — </w:t>
      </w:r>
      <w:r w:rsidRPr="003556C1">
        <w:rPr>
          <w:rFonts w:ascii="Century Gothic" w:hAnsi="Century Gothic"/>
          <w:sz w:val="24"/>
          <w:szCs w:val="24"/>
        </w:rPr>
        <w:t>taxa mínima de desvio de aterro de 30%, coleta seletiva (1 ponto a cada 300 pessoas), logística reversa de 100% dos materiais de comunicação, iluminação LED em pelo menos 80% das estruturas próprias, parceria com cooperativas de catadores e relatório socioambiental pós-evento;</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b/>
          <w:bCs/>
          <w:sz w:val="24"/>
          <w:szCs w:val="24"/>
        </w:rPr>
        <w:t xml:space="preserve">Plano de Capacitação das Equipes — </w:t>
      </w:r>
      <w:r w:rsidRPr="003556C1">
        <w:rPr>
          <w:rFonts w:ascii="Century Gothic" w:hAnsi="Century Gothic"/>
          <w:sz w:val="24"/>
          <w:szCs w:val="24"/>
        </w:rPr>
        <w:t>carga horária mínima de 20h/trabalhador/evento, contemplando atendimento ao público, identidade de Itajaí, acessibilidade, segurança e sustentabilidade, com certificação nominal, avaliação de aprendizagem (meta de 80% de aprovação) e recertificação entre eventos;</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b/>
          <w:bCs/>
          <w:sz w:val="24"/>
          <w:szCs w:val="24"/>
        </w:rPr>
        <w:lastRenderedPageBreak/>
        <w:t xml:space="preserve">Equipe-Chave — </w:t>
      </w:r>
      <w:r w:rsidRPr="003556C1">
        <w:rPr>
          <w:rFonts w:ascii="Century Gothic" w:hAnsi="Century Gothic"/>
          <w:sz w:val="24"/>
          <w:szCs w:val="24"/>
        </w:rPr>
        <w:t>apresentação dos profissionais designados para as funções estratégicas da contratação, com currículos, cartas de aceite e comprovação de experiência, conforme requisitos definidos no Termo de Referência (Anexo I);</w:t>
      </w:r>
    </w:p>
    <w:p w:rsidR="00233A96"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b/>
          <w:bCs/>
          <w:sz w:val="24"/>
          <w:szCs w:val="24"/>
        </w:rPr>
        <w:t xml:space="preserve">Portfólio — </w:t>
      </w:r>
      <w:r w:rsidRPr="003556C1">
        <w:rPr>
          <w:rFonts w:ascii="Century Gothic" w:hAnsi="Century Gothic"/>
          <w:sz w:val="24"/>
          <w:szCs w:val="24"/>
        </w:rPr>
        <w:t>demonstração de experiência anterior em eventos de grande porte, com indicação de eventos realizados, público aferido, dimensão da operação, inovações implementadas e referências.</w:t>
      </w:r>
    </w:p>
    <w:p w:rsidR="003556C1" w:rsidRPr="003556C1" w:rsidRDefault="003556C1" w:rsidP="003556C1">
      <w:pPr>
        <w:rPr>
          <w:sz w:val="2"/>
        </w:rPr>
      </w:pPr>
    </w:p>
    <w:p w:rsidR="00233A96"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"Nota Técnica Mínima: 60 (sessenta) pontos, em conformidade com o Termo de Referência (Seção 8) e a Matriz de Critérios de Avaliação. Será desclassificado o licitante que não atingir a pontuação técnica mínima, por insuficiência de capacidade técnica para a execução do objeto, nos termos do art. 36, §1º, da Lei nº 14.133/2021. A nota de corte destina-se a assegurar que apenas licitantes com comprovada expertise em gestão de eventos de grande porte participem da fase de ponderação com o preço."</w:t>
      </w:r>
    </w:p>
    <w:p w:rsidR="003556C1" w:rsidRPr="003556C1" w:rsidRDefault="003556C1" w:rsidP="003556C1">
      <w:pPr>
        <w:spacing w:before="0" w:after="0" w:line="240" w:lineRule="auto"/>
        <w:ind w:left="566" w:firstLine="0"/>
        <w:rPr>
          <w:rFonts w:ascii="Century Gothic" w:hAnsi="Century Gothic"/>
        </w:rPr>
      </w:pPr>
    </w:p>
    <w:p w:rsidR="00233A96"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 xml:space="preserve">A avaliação técnica será realizada por </w:t>
      </w:r>
      <w:r w:rsidRPr="003556C1">
        <w:rPr>
          <w:rFonts w:ascii="Century Gothic" w:hAnsi="Century Gothic"/>
          <w:b/>
          <w:bCs/>
        </w:rPr>
        <w:t>Comissão de Contratação composta por, no mínimo, 3 (três) membros</w:t>
      </w:r>
      <w:r w:rsidRPr="003556C1">
        <w:rPr>
          <w:rFonts w:ascii="Century Gothic" w:hAnsi="Century Gothic"/>
        </w:rPr>
        <w:t>, designados formalmente, que deverão declarar inexistência de conflito de interesses, nos termos da Lei nº 12.813/2013. Cada membro atribuirá nota individual por critério, apurando-se a nota do eixo pela média aritmética. A ata circunstanciada do julgamento será parte integrante do processo.</w:t>
      </w:r>
    </w:p>
    <w:p w:rsidR="003556C1" w:rsidRPr="003556C1" w:rsidRDefault="003556C1" w:rsidP="003556C1">
      <w:pPr>
        <w:spacing w:before="0" w:after="0" w:line="240" w:lineRule="auto"/>
        <w:ind w:left="0" w:firstLine="0"/>
        <w:rPr>
          <w:rFonts w:ascii="Century Gothic" w:hAnsi="Century Gothic"/>
        </w:rPr>
      </w:pPr>
    </w:p>
    <w:p w:rsidR="00233A96"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A avaliação observará exclusivamente os critérios, subcritérios e pesos definidos na MCA (Anexo III), sendo vedado: (a) o julgamento por elemento externo à proposta; (b) a atribuição de nota com base em informação não constante da documentação apresentada; (c) a avaliação por critério não previsto na MCA.</w:t>
      </w:r>
    </w:p>
    <w:p w:rsidR="003556C1" w:rsidRPr="003556C1" w:rsidRDefault="003556C1" w:rsidP="003556C1">
      <w:pPr>
        <w:spacing w:before="0" w:after="0" w:line="240" w:lineRule="auto"/>
        <w:ind w:left="0" w:firstLine="0"/>
        <w:rPr>
          <w:rFonts w:ascii="Century Gothic" w:hAnsi="Century Gothic"/>
        </w:rPr>
      </w:pPr>
    </w:p>
    <w:p w:rsidR="00233A96" w:rsidRPr="003556C1" w:rsidRDefault="001C04B4" w:rsidP="003556C1">
      <w:pPr>
        <w:pStyle w:val="Ttulo1"/>
        <w:keepNext w:val="0"/>
        <w:keepLines w:val="0"/>
        <w:numPr>
          <w:ilvl w:val="0"/>
          <w:numId w:val="1"/>
        </w:numPr>
        <w:spacing w:before="0" w:after="0" w:line="240" w:lineRule="auto"/>
        <w:ind w:left="141" w:firstLine="425"/>
        <w:rPr>
          <w:rFonts w:ascii="Century Gothic" w:hAnsi="Century Gothic"/>
          <w:b/>
          <w:bCs/>
          <w:sz w:val="24"/>
          <w:szCs w:val="24"/>
        </w:rPr>
      </w:pPr>
      <w:r w:rsidRPr="003556C1">
        <w:rPr>
          <w:rFonts w:ascii="Century Gothic" w:hAnsi="Century Gothic"/>
          <w:b/>
          <w:bCs/>
          <w:sz w:val="24"/>
          <w:szCs w:val="24"/>
        </w:rPr>
        <w:t>DA PROPOSTA DE PREÇOS</w:t>
      </w:r>
    </w:p>
    <w:p w:rsid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 xml:space="preserve">A Proposta de Preços deverá indicar o </w:t>
      </w:r>
      <w:r w:rsidRPr="003556C1">
        <w:rPr>
          <w:rFonts w:ascii="Century Gothic" w:hAnsi="Century Gothic"/>
          <w:b/>
          <w:bCs/>
          <w:sz w:val="24"/>
          <w:szCs w:val="24"/>
        </w:rPr>
        <w:t>per capita ofertado (R$/pessoa)</w:t>
      </w:r>
      <w:r w:rsidRPr="003556C1">
        <w:rPr>
          <w:rFonts w:ascii="Century Gothic" w:hAnsi="Century Gothic"/>
          <w:sz w:val="24"/>
          <w:szCs w:val="24"/>
        </w:rPr>
        <w:t xml:space="preserve">, que não poderá ser superior ao per capita de referência de </w:t>
      </w:r>
      <w:r w:rsidRPr="003556C1">
        <w:rPr>
          <w:rFonts w:ascii="Century Gothic" w:hAnsi="Century Gothic"/>
          <w:b/>
          <w:bCs/>
          <w:sz w:val="24"/>
          <w:szCs w:val="24"/>
        </w:rPr>
        <w:t>R$ 69,49</w:t>
      </w:r>
      <w:r w:rsidRPr="003556C1">
        <w:rPr>
          <w:rFonts w:ascii="Century Gothic" w:hAnsi="Century Gothic"/>
          <w:sz w:val="24"/>
          <w:szCs w:val="24"/>
        </w:rPr>
        <w:t xml:space="preserve"> (sessenta e nove reais e quarenta e nove centavos), sob pena de desclassificação.</w:t>
      </w:r>
    </w:p>
    <w:p w:rsidR="003556C1" w:rsidRPr="003556C1" w:rsidRDefault="003556C1" w:rsidP="003556C1">
      <w:pPr>
        <w:rPr>
          <w:sz w:val="2"/>
        </w:rPr>
      </w:pP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O licitante deverá apresentar planilha de composição de custos, conforme modelo do Anexo VII, demonstrando a formação do per capita por evento e a estrutura de custos fixos e variáveis, incluindo, no mínimo: custos diretos de operação, custos de pessoal, custos de mobilização e desmontagem, custos administrativos, tributos incidentes e margem.</w:t>
      </w:r>
    </w:p>
    <w:p w:rsidR="003556C1" w:rsidRPr="003556C1" w:rsidRDefault="003556C1" w:rsidP="003556C1">
      <w:pPr>
        <w:rPr>
          <w:sz w:val="2"/>
        </w:rPr>
      </w:pPr>
    </w:p>
    <w:p w:rsid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 xml:space="preserve">Nos preços ofertados deverão estar inclusos todos os custos e despesas, inclusive tributos, seguros, transporte, encargos trabalhistas, </w:t>
      </w:r>
      <w:r w:rsidRPr="003556C1">
        <w:rPr>
          <w:rFonts w:ascii="Century Gothic" w:hAnsi="Century Gothic"/>
          <w:sz w:val="24"/>
          <w:szCs w:val="24"/>
        </w:rPr>
        <w:lastRenderedPageBreak/>
        <w:t>previdenciários, fiscais e comerciais, e quaisquer outros necessários ao fiel cumprimento do contrato.</w:t>
      </w:r>
    </w:p>
    <w:p w:rsidR="003556C1" w:rsidRPr="003556C1" w:rsidRDefault="003556C1" w:rsidP="003556C1">
      <w:pPr>
        <w:rPr>
          <w:sz w:val="2"/>
        </w:rPr>
      </w:pP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Serão desclassificadas as propostas que: (a) apresentem per capita superior ao teto de referência; (b) não contenham a planilha de composição de custos; (c) apresentem preços manifestamente inexequíveis, nos termos do art. 59, §4º, da Lei nº 14.133/2021.</w:t>
      </w:r>
    </w:p>
    <w:p w:rsidR="003556C1" w:rsidRPr="003556C1" w:rsidRDefault="003556C1" w:rsidP="003556C1">
      <w:pPr>
        <w:rPr>
          <w:sz w:val="2"/>
        </w:rPr>
      </w:pP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Para verificação de exequibilidade, a Comissão poderá solicitar demonstração analítica da formação dos preços, com detalhamento de custos diretos, indiretos, tributos incidentes, despesas administrativas e margem, admitindo-se metodologias usuais de precificação d</w:t>
      </w:r>
      <w:r w:rsidR="003556C1">
        <w:rPr>
          <w:rFonts w:ascii="Century Gothic" w:hAnsi="Century Gothic"/>
          <w:sz w:val="24"/>
          <w:szCs w:val="24"/>
        </w:rPr>
        <w:t>e serviços de gestão de eventos.</w:t>
      </w:r>
    </w:p>
    <w:p w:rsidR="003556C1" w:rsidRPr="003556C1" w:rsidRDefault="003556C1" w:rsidP="003556C1">
      <w:pPr>
        <w:rPr>
          <w:sz w:val="2"/>
        </w:rPr>
      </w:pP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As planilhas deverão ser assinadas por representante legal do licitante.</w:t>
      </w:r>
    </w:p>
    <w:p w:rsidR="003556C1" w:rsidRPr="003556C1" w:rsidRDefault="003556C1" w:rsidP="003556C1">
      <w:pPr>
        <w:rPr>
          <w:sz w:val="4"/>
        </w:rPr>
      </w:pPr>
    </w:p>
    <w:p w:rsidR="00233A96" w:rsidRPr="003556C1" w:rsidRDefault="001C04B4" w:rsidP="003556C1">
      <w:pPr>
        <w:pStyle w:val="Ttulo1"/>
        <w:keepNext w:val="0"/>
        <w:keepLines w:val="0"/>
        <w:numPr>
          <w:ilvl w:val="0"/>
          <w:numId w:val="1"/>
        </w:numPr>
        <w:spacing w:before="0" w:after="0" w:line="240" w:lineRule="auto"/>
        <w:ind w:left="141" w:firstLine="425"/>
        <w:rPr>
          <w:rFonts w:ascii="Century Gothic" w:hAnsi="Century Gothic"/>
          <w:b/>
          <w:bCs/>
          <w:sz w:val="24"/>
          <w:szCs w:val="24"/>
        </w:rPr>
      </w:pPr>
      <w:r w:rsidRPr="003556C1">
        <w:rPr>
          <w:rFonts w:ascii="Century Gothic" w:hAnsi="Century Gothic"/>
          <w:b/>
          <w:bCs/>
          <w:sz w:val="24"/>
          <w:szCs w:val="24"/>
        </w:rPr>
        <w:t>DOS CRITÉRIOS DE JULGAMENTO</w:t>
      </w: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 xml:space="preserve">O julgamento será realizado pelo critério de </w:t>
      </w:r>
      <w:r w:rsidRPr="003556C1">
        <w:rPr>
          <w:rFonts w:ascii="Century Gothic" w:hAnsi="Century Gothic"/>
          <w:b/>
          <w:bCs/>
          <w:sz w:val="24"/>
          <w:szCs w:val="24"/>
        </w:rPr>
        <w:t>Técnica e Preço</w:t>
      </w:r>
      <w:r w:rsidRPr="003556C1">
        <w:rPr>
          <w:rFonts w:ascii="Century Gothic" w:hAnsi="Century Gothic"/>
          <w:sz w:val="24"/>
          <w:szCs w:val="24"/>
        </w:rPr>
        <w:t>, conforme art. 36, §1º, da Lei nº 14.133/2021, aplicável a serviços técnicos de natureza predominantemente intelectual, com os seguintes pesos:</w:t>
      </w:r>
    </w:p>
    <w:p w:rsidR="003556C1" w:rsidRDefault="003556C1" w:rsidP="003556C1">
      <w:pPr>
        <w:spacing w:before="0" w:after="0" w:line="240" w:lineRule="auto"/>
        <w:ind w:left="141" w:firstLine="425"/>
        <w:rPr>
          <w:rFonts w:ascii="Century Gothic" w:hAnsi="Century Gothic"/>
          <w:b/>
          <w:bCs/>
        </w:rPr>
      </w:pPr>
    </w:p>
    <w:p w:rsidR="00233A96" w:rsidRDefault="001C04B4" w:rsidP="003556C1">
      <w:pPr>
        <w:spacing w:before="0" w:after="0" w:line="240" w:lineRule="auto"/>
        <w:ind w:left="141" w:firstLine="425"/>
        <w:rPr>
          <w:rFonts w:ascii="Century Gothic" w:hAnsi="Century Gothic"/>
          <w:b/>
          <w:bCs/>
        </w:rPr>
      </w:pPr>
      <w:r w:rsidRPr="003556C1">
        <w:rPr>
          <w:rFonts w:ascii="Century Gothic" w:hAnsi="Century Gothic"/>
          <w:b/>
          <w:bCs/>
        </w:rPr>
        <w:t>Proposta Técnica: 60% (sessenta por cento)  |  Proposta de Preço: 40% (quarenta por cento)</w:t>
      </w:r>
    </w:p>
    <w:p w:rsidR="003556C1" w:rsidRPr="003556C1" w:rsidRDefault="003556C1" w:rsidP="003556C1">
      <w:pPr>
        <w:spacing w:before="0" w:after="0" w:line="240" w:lineRule="auto"/>
        <w:ind w:left="141" w:firstLine="425"/>
        <w:rPr>
          <w:rFonts w:ascii="Century Gothic" w:hAnsi="Century Gothic"/>
        </w:rPr>
      </w:pPr>
    </w:p>
    <w:p w:rsidR="00233A96" w:rsidRDefault="001C04B4" w:rsidP="003556C1">
      <w:pPr>
        <w:spacing w:before="0" w:after="0" w:line="240" w:lineRule="auto"/>
        <w:ind w:left="141" w:firstLine="425"/>
        <w:rPr>
          <w:rFonts w:ascii="Century Gothic" w:hAnsi="Century Gothic"/>
        </w:rPr>
      </w:pPr>
      <w:r w:rsidRPr="003556C1">
        <w:rPr>
          <w:rFonts w:ascii="Century Gothic" w:hAnsi="Century Gothic"/>
        </w:rPr>
        <w:t>A ponderação de 60/40 justifica-se pela predominância do componente intelectual no objeto (planejamento estratégico, curadoria, gestão de riscos, comunicação institucional, aferição de público), sem prejuízo da relevância do preço para a economicidade da contratação. A distribuição é compatível com o art. 36, §1º, da Lei nº 14.133/2021, e com a jurisprudência consolidada dos Tribunais de Contas.</w:t>
      </w:r>
    </w:p>
    <w:p w:rsidR="003556C1" w:rsidRPr="003556C1" w:rsidRDefault="003556C1" w:rsidP="003556C1">
      <w:pPr>
        <w:spacing w:before="0" w:after="0" w:line="240" w:lineRule="auto"/>
        <w:ind w:left="141" w:firstLine="425"/>
        <w:rPr>
          <w:rFonts w:ascii="Century Gothic" w:hAnsi="Century Gothic"/>
        </w:rPr>
      </w:pPr>
    </w:p>
    <w:p w:rsidR="00233A96" w:rsidRPr="003556C1" w:rsidRDefault="001C04B4" w:rsidP="003556C1">
      <w:pPr>
        <w:pStyle w:val="Ttulo2"/>
        <w:keepNext w:val="0"/>
        <w:keepLines w:val="0"/>
        <w:numPr>
          <w:ilvl w:val="1"/>
          <w:numId w:val="1"/>
        </w:numPr>
        <w:spacing w:before="0" w:after="0" w:line="240" w:lineRule="auto"/>
        <w:ind w:left="141" w:firstLine="425"/>
        <w:rPr>
          <w:rFonts w:ascii="Century Gothic" w:hAnsi="Century Gothic"/>
        </w:rPr>
      </w:pPr>
      <w:r w:rsidRPr="003556C1">
        <w:rPr>
          <w:rFonts w:ascii="Century Gothic" w:hAnsi="Century Gothic"/>
        </w:rPr>
        <w:t>Estrutura do julgamento</w:t>
      </w:r>
    </w:p>
    <w:p w:rsidR="00233A96" w:rsidRDefault="001C04B4" w:rsidP="003556C1">
      <w:pPr>
        <w:pStyle w:val="Ttulo2"/>
        <w:keepNext w:val="0"/>
        <w:keepLines w:val="0"/>
        <w:spacing w:before="0" w:after="0" w:line="240" w:lineRule="auto"/>
        <w:ind w:left="141" w:firstLine="425"/>
        <w:rPr>
          <w:rFonts w:ascii="Century Gothic" w:hAnsi="Century Gothic"/>
          <w:b w:val="0"/>
          <w:bCs w:val="0"/>
        </w:rPr>
      </w:pPr>
      <w:r w:rsidRPr="003556C1">
        <w:rPr>
          <w:rFonts w:ascii="Century Gothic" w:hAnsi="Century Gothic"/>
          <w:b w:val="0"/>
          <w:bCs w:val="0"/>
        </w:rPr>
        <w:t>O julgamento será realizado em fases, na seguinte ordem: (i) Proposta Técnica; (ii) Proposta de Preços; (iii) Habilitação do licitante melhor classificado.</w:t>
      </w:r>
    </w:p>
    <w:p w:rsidR="003556C1" w:rsidRPr="003556C1" w:rsidRDefault="003556C1" w:rsidP="003556C1">
      <w:pPr>
        <w:rPr>
          <w:sz w:val="2"/>
        </w:rPr>
      </w:pPr>
    </w:p>
    <w:p w:rsidR="00233A96" w:rsidRPr="003556C1" w:rsidRDefault="001C04B4" w:rsidP="003556C1">
      <w:pPr>
        <w:pStyle w:val="Ttulo2"/>
        <w:keepNext w:val="0"/>
        <w:keepLines w:val="0"/>
        <w:numPr>
          <w:ilvl w:val="1"/>
          <w:numId w:val="1"/>
        </w:numPr>
        <w:spacing w:before="0" w:after="0" w:line="240" w:lineRule="auto"/>
        <w:ind w:left="141" w:firstLine="425"/>
        <w:rPr>
          <w:rFonts w:ascii="Century Gothic" w:hAnsi="Century Gothic"/>
        </w:rPr>
      </w:pPr>
      <w:r w:rsidRPr="003556C1">
        <w:rPr>
          <w:rFonts w:ascii="Century Gothic" w:hAnsi="Century Gothic"/>
        </w:rPr>
        <w:t xml:space="preserve"> Cálculo da Nota Técnica (NT)</w:t>
      </w:r>
    </w:p>
    <w:p w:rsidR="00233A96" w:rsidRPr="003556C1" w:rsidRDefault="001C04B4" w:rsidP="003556C1">
      <w:pPr>
        <w:pStyle w:val="Ttulo2"/>
        <w:keepNext w:val="0"/>
        <w:keepLines w:val="0"/>
        <w:spacing w:before="0" w:after="0" w:line="240" w:lineRule="auto"/>
        <w:ind w:left="141" w:firstLine="425"/>
        <w:rPr>
          <w:rFonts w:ascii="Century Gothic" w:hAnsi="Century Gothic"/>
        </w:rPr>
      </w:pPr>
      <w:r w:rsidRPr="003556C1">
        <w:rPr>
          <w:rFonts w:ascii="Century Gothic" w:hAnsi="Century Gothic"/>
          <w:b w:val="0"/>
          <w:bCs w:val="0"/>
        </w:rPr>
        <w:t xml:space="preserve">A Proposta Técnica será pontuada conforme os critérios objetivos definidos na Matriz de Critérios de Avaliação — MCA (Anexo III), com pontuação máxima de 100 pontos. A Nota Técnica normalizada será calculada pela fórmula: </w:t>
      </w:r>
      <w:r w:rsidRPr="003556C1">
        <w:rPr>
          <w:rFonts w:ascii="Century Gothic" w:hAnsi="Century Gothic"/>
        </w:rPr>
        <w:t>NT = (PTi / PTmáx) × 100</w:t>
      </w:r>
    </w:p>
    <w:p w:rsidR="00233A96" w:rsidRDefault="001C04B4" w:rsidP="003556C1">
      <w:pPr>
        <w:pStyle w:val="Ttulo2"/>
        <w:keepNext w:val="0"/>
        <w:keepLines w:val="0"/>
        <w:spacing w:before="0" w:after="0" w:line="240" w:lineRule="auto"/>
        <w:ind w:left="141" w:firstLine="425"/>
        <w:rPr>
          <w:rFonts w:ascii="Century Gothic" w:hAnsi="Century Gothic"/>
          <w:b w:val="0"/>
          <w:bCs w:val="0"/>
        </w:rPr>
      </w:pPr>
      <w:r w:rsidRPr="003556C1">
        <w:rPr>
          <w:rFonts w:ascii="Century Gothic" w:hAnsi="Century Gothic"/>
          <w:b w:val="0"/>
          <w:bCs w:val="0"/>
        </w:rPr>
        <w:lastRenderedPageBreak/>
        <w:t>Em que PTi é a pontuação técnica bruta da licitante i e PTmáx é a maior pontuação técnica bruta entre as licitantes habilitadas tecnicamente (com nota igual ou superior a 70 pontos).</w:t>
      </w:r>
    </w:p>
    <w:p w:rsidR="003556C1" w:rsidRPr="003556C1" w:rsidRDefault="003556C1" w:rsidP="003556C1">
      <w:pPr>
        <w:rPr>
          <w:sz w:val="4"/>
        </w:rPr>
      </w:pPr>
    </w:p>
    <w:p w:rsidR="00233A96" w:rsidRPr="003556C1" w:rsidRDefault="001C04B4" w:rsidP="003556C1">
      <w:pPr>
        <w:pStyle w:val="Ttulo2"/>
        <w:keepNext w:val="0"/>
        <w:keepLines w:val="0"/>
        <w:numPr>
          <w:ilvl w:val="1"/>
          <w:numId w:val="1"/>
        </w:numPr>
        <w:spacing w:before="0" w:after="0" w:line="240" w:lineRule="auto"/>
        <w:ind w:left="141" w:firstLine="425"/>
        <w:rPr>
          <w:rFonts w:ascii="Century Gothic" w:hAnsi="Century Gothic"/>
        </w:rPr>
      </w:pPr>
      <w:r w:rsidRPr="003556C1">
        <w:rPr>
          <w:rFonts w:ascii="Century Gothic" w:hAnsi="Century Gothic"/>
        </w:rPr>
        <w:t>Cálculo da Nota de Preço (NP)</w:t>
      </w:r>
    </w:p>
    <w:p w:rsidR="00233A96" w:rsidRPr="003556C1" w:rsidRDefault="001C04B4" w:rsidP="003556C1">
      <w:pPr>
        <w:pStyle w:val="Ttulo2"/>
        <w:keepNext w:val="0"/>
        <w:keepLines w:val="0"/>
        <w:spacing w:before="0" w:after="0" w:line="240" w:lineRule="auto"/>
        <w:ind w:left="141" w:firstLine="425"/>
        <w:rPr>
          <w:rFonts w:ascii="Century Gothic" w:hAnsi="Century Gothic"/>
        </w:rPr>
      </w:pPr>
      <w:r w:rsidRPr="003556C1">
        <w:rPr>
          <w:rFonts w:ascii="Century Gothic" w:hAnsi="Century Gothic"/>
        </w:rPr>
        <w:t>NP = (Pmin / Pi) × 100</w:t>
      </w:r>
    </w:p>
    <w:p w:rsidR="00233A96" w:rsidRDefault="001C04B4" w:rsidP="003556C1">
      <w:pPr>
        <w:pStyle w:val="Ttulo2"/>
        <w:keepNext w:val="0"/>
        <w:keepLines w:val="0"/>
        <w:spacing w:before="0" w:after="0" w:line="240" w:lineRule="auto"/>
        <w:ind w:left="141" w:firstLine="425"/>
        <w:rPr>
          <w:rFonts w:ascii="Century Gothic" w:hAnsi="Century Gothic"/>
          <w:b w:val="0"/>
          <w:bCs w:val="0"/>
        </w:rPr>
      </w:pPr>
      <w:r w:rsidRPr="003556C1">
        <w:rPr>
          <w:rFonts w:ascii="Century Gothic" w:hAnsi="Century Gothic"/>
          <w:b w:val="0"/>
          <w:bCs w:val="0"/>
        </w:rPr>
        <w:t>Em que Pmin é o menor per capita válido entre as propostas classificadas e Pi é o per capita ofertado pela licitante i.</w:t>
      </w:r>
    </w:p>
    <w:p w:rsidR="003556C1" w:rsidRPr="003556C1" w:rsidRDefault="003556C1" w:rsidP="003556C1">
      <w:pPr>
        <w:rPr>
          <w:sz w:val="2"/>
        </w:rPr>
      </w:pPr>
    </w:p>
    <w:p w:rsidR="00233A96" w:rsidRPr="003556C1" w:rsidRDefault="001C04B4" w:rsidP="003556C1">
      <w:pPr>
        <w:pStyle w:val="Ttulo2"/>
        <w:keepNext w:val="0"/>
        <w:keepLines w:val="0"/>
        <w:numPr>
          <w:ilvl w:val="1"/>
          <w:numId w:val="1"/>
        </w:numPr>
        <w:spacing w:before="0" w:after="0" w:line="240" w:lineRule="auto"/>
        <w:ind w:left="141" w:firstLine="425"/>
        <w:rPr>
          <w:rFonts w:ascii="Century Gothic" w:hAnsi="Century Gothic"/>
        </w:rPr>
      </w:pPr>
      <w:r w:rsidRPr="003556C1">
        <w:rPr>
          <w:rFonts w:ascii="Century Gothic" w:hAnsi="Century Gothic"/>
        </w:rPr>
        <w:t>Nota Final (NF)</w:t>
      </w:r>
    </w:p>
    <w:p w:rsidR="00233A96" w:rsidRPr="003556C1" w:rsidRDefault="001C04B4" w:rsidP="003556C1">
      <w:pPr>
        <w:pStyle w:val="Ttulo2"/>
        <w:keepNext w:val="0"/>
        <w:keepLines w:val="0"/>
        <w:spacing w:before="0" w:after="0" w:line="240" w:lineRule="auto"/>
        <w:ind w:left="141" w:firstLine="425"/>
        <w:rPr>
          <w:rFonts w:ascii="Century Gothic" w:hAnsi="Century Gothic"/>
        </w:rPr>
      </w:pPr>
      <w:r w:rsidRPr="003556C1">
        <w:rPr>
          <w:rFonts w:ascii="Century Gothic" w:hAnsi="Century Gothic"/>
        </w:rPr>
        <w:t>NF = (0,60 × NT) + (0,40 × NP)</w:t>
      </w:r>
    </w:p>
    <w:p w:rsidR="00233A96" w:rsidRDefault="001C04B4" w:rsidP="003556C1">
      <w:pPr>
        <w:pStyle w:val="Ttulo2"/>
        <w:keepNext w:val="0"/>
        <w:keepLines w:val="0"/>
        <w:spacing w:before="0" w:after="0" w:line="240" w:lineRule="auto"/>
        <w:ind w:left="141" w:firstLine="425"/>
        <w:rPr>
          <w:rFonts w:ascii="Century Gothic" w:hAnsi="Century Gothic"/>
          <w:b w:val="0"/>
          <w:bCs w:val="0"/>
        </w:rPr>
      </w:pPr>
      <w:r w:rsidRPr="003556C1">
        <w:rPr>
          <w:rFonts w:ascii="Century Gothic" w:hAnsi="Century Gothic"/>
          <w:b w:val="0"/>
          <w:bCs w:val="0"/>
        </w:rPr>
        <w:t>Será declarada vencedora a licitante que obtiver a maior Nota Final.</w:t>
      </w:r>
    </w:p>
    <w:p w:rsidR="003556C1" w:rsidRPr="003556C1" w:rsidRDefault="003556C1" w:rsidP="003556C1">
      <w:pPr>
        <w:rPr>
          <w:sz w:val="2"/>
        </w:rPr>
      </w:pPr>
    </w:p>
    <w:p w:rsidR="00233A96" w:rsidRPr="003556C1" w:rsidRDefault="001C04B4" w:rsidP="003556C1">
      <w:pPr>
        <w:pStyle w:val="Ttulo2"/>
        <w:keepNext w:val="0"/>
        <w:keepLines w:val="0"/>
        <w:numPr>
          <w:ilvl w:val="1"/>
          <w:numId w:val="1"/>
        </w:numPr>
        <w:spacing w:before="0" w:after="0" w:line="240" w:lineRule="auto"/>
        <w:ind w:left="141" w:firstLine="425"/>
        <w:rPr>
          <w:rFonts w:ascii="Century Gothic" w:hAnsi="Century Gothic"/>
        </w:rPr>
      </w:pPr>
      <w:r w:rsidRPr="003556C1">
        <w:rPr>
          <w:rFonts w:ascii="Century Gothic" w:hAnsi="Century Gothic"/>
        </w:rPr>
        <w:t>Critérios de desempate</w:t>
      </w:r>
    </w:p>
    <w:p w:rsidR="00233A96" w:rsidRDefault="001C04B4" w:rsidP="003556C1">
      <w:pPr>
        <w:pStyle w:val="Ttulo2"/>
        <w:keepNext w:val="0"/>
        <w:keepLines w:val="0"/>
        <w:numPr>
          <w:ilvl w:val="2"/>
          <w:numId w:val="1"/>
        </w:numPr>
        <w:spacing w:before="0" w:after="0" w:line="240" w:lineRule="auto"/>
        <w:ind w:left="141" w:firstLine="425"/>
        <w:rPr>
          <w:rFonts w:ascii="Century Gothic" w:hAnsi="Century Gothic"/>
          <w:b w:val="0"/>
          <w:bCs w:val="0"/>
        </w:rPr>
      </w:pPr>
      <w:r w:rsidRPr="003556C1">
        <w:rPr>
          <w:rFonts w:ascii="Century Gothic" w:hAnsi="Century Gothic"/>
          <w:b w:val="0"/>
          <w:bCs w:val="0"/>
        </w:rPr>
        <w:t>Em caso de empate na Nota Final, aplicar-se-ão, sucessivamente: (a) maior Nota Técnica; (b) menor per capita ofertado; (c) critérios de preferência previstos na LC nº 123/2006, quando aplicáveis; (d) critérios legais subsidiários do art. 60, §1º, da Lei nº 14.133/2021.</w:t>
      </w:r>
    </w:p>
    <w:p w:rsidR="003556C1" w:rsidRPr="003556C1" w:rsidRDefault="003556C1" w:rsidP="003556C1">
      <w:pPr>
        <w:rPr>
          <w:sz w:val="2"/>
        </w:rPr>
      </w:pPr>
    </w:p>
    <w:p w:rsidR="00233A96" w:rsidRPr="003556C1" w:rsidRDefault="001C04B4" w:rsidP="003556C1">
      <w:pPr>
        <w:pStyle w:val="Ttulo1"/>
        <w:keepNext w:val="0"/>
        <w:keepLines w:val="0"/>
        <w:numPr>
          <w:ilvl w:val="0"/>
          <w:numId w:val="1"/>
        </w:numPr>
        <w:spacing w:before="0" w:after="0" w:line="240" w:lineRule="auto"/>
        <w:ind w:left="141" w:firstLine="425"/>
        <w:rPr>
          <w:rFonts w:ascii="Century Gothic" w:hAnsi="Century Gothic"/>
          <w:b/>
          <w:bCs/>
          <w:sz w:val="24"/>
          <w:szCs w:val="24"/>
        </w:rPr>
      </w:pPr>
      <w:r w:rsidRPr="003556C1">
        <w:rPr>
          <w:rFonts w:ascii="Century Gothic" w:hAnsi="Century Gothic"/>
          <w:b/>
          <w:bCs/>
          <w:sz w:val="24"/>
          <w:szCs w:val="24"/>
        </w:rPr>
        <w:t>DA HABILITAÇÃO</w:t>
      </w:r>
    </w:p>
    <w:p w:rsidR="00233A96" w:rsidRDefault="001C04B4" w:rsidP="003556C1">
      <w:pPr>
        <w:pStyle w:val="Ttulo1"/>
        <w:keepNext w:val="0"/>
        <w:keepLines w:val="0"/>
        <w:spacing w:before="0" w:after="0" w:line="240" w:lineRule="auto"/>
        <w:ind w:left="141" w:firstLine="425"/>
        <w:rPr>
          <w:rFonts w:ascii="Century Gothic" w:hAnsi="Century Gothic"/>
          <w:sz w:val="24"/>
          <w:szCs w:val="24"/>
        </w:rPr>
      </w:pPr>
      <w:r w:rsidRPr="003556C1">
        <w:rPr>
          <w:rFonts w:ascii="Century Gothic" w:hAnsi="Century Gothic"/>
          <w:sz w:val="24"/>
          <w:szCs w:val="24"/>
        </w:rPr>
        <w:t xml:space="preserve">O licitante melhor classificado deverá apresentar a documentação de habilitação no sistema </w:t>
      </w:r>
      <w:r w:rsidRPr="003556C1">
        <w:rPr>
          <w:rFonts w:ascii="Century Gothic" w:hAnsi="Century Gothic"/>
          <w:b/>
          <w:bCs/>
          <w:sz w:val="24"/>
          <w:szCs w:val="24"/>
        </w:rPr>
        <w:t>no prazo de até 2 (duas) horas após o encerramento da fase de julgamento</w:t>
      </w:r>
      <w:r w:rsidRPr="003556C1">
        <w:rPr>
          <w:rFonts w:ascii="Century Gothic" w:hAnsi="Century Gothic"/>
          <w:sz w:val="24"/>
          <w:szCs w:val="24"/>
        </w:rPr>
        <w:t>, sob pena de inabilitação. Serão considerados os prazos de validade expressos nos documentos; para documentos de regularidade fiscal sem prazo, considerar-se-ão 90 (noventa) dias da emissão.</w:t>
      </w:r>
    </w:p>
    <w:p w:rsidR="003556C1" w:rsidRPr="003556C1" w:rsidRDefault="003556C1" w:rsidP="003556C1">
      <w:pPr>
        <w:rPr>
          <w:sz w:val="2"/>
        </w:rPr>
      </w:pPr>
    </w:p>
    <w:p w:rsidR="00233A96" w:rsidRPr="003556C1" w:rsidRDefault="001C04B4" w:rsidP="003556C1">
      <w:pPr>
        <w:pStyle w:val="Ttulo2"/>
        <w:keepNext w:val="0"/>
        <w:keepLines w:val="0"/>
        <w:numPr>
          <w:ilvl w:val="1"/>
          <w:numId w:val="1"/>
        </w:numPr>
        <w:spacing w:before="0" w:after="0" w:line="240" w:lineRule="auto"/>
        <w:ind w:left="141" w:firstLine="425"/>
        <w:rPr>
          <w:rFonts w:ascii="Century Gothic" w:hAnsi="Century Gothic"/>
        </w:rPr>
      </w:pPr>
      <w:r w:rsidRPr="003556C1">
        <w:rPr>
          <w:rFonts w:ascii="Century Gothic" w:hAnsi="Century Gothic"/>
        </w:rPr>
        <w:t>Habilitação Jurídica</w:t>
      </w:r>
    </w:p>
    <w:p w:rsidR="00233A96" w:rsidRPr="003556C1" w:rsidRDefault="001C04B4" w:rsidP="003556C1">
      <w:pPr>
        <w:pStyle w:val="Ttulo2"/>
        <w:keepNext w:val="0"/>
        <w:keepLines w:val="0"/>
        <w:numPr>
          <w:ilvl w:val="2"/>
          <w:numId w:val="1"/>
        </w:numPr>
        <w:spacing w:before="0" w:after="0" w:line="240" w:lineRule="auto"/>
        <w:ind w:left="141" w:firstLine="425"/>
        <w:rPr>
          <w:rFonts w:ascii="Century Gothic" w:hAnsi="Century Gothic"/>
        </w:rPr>
      </w:pPr>
      <w:r w:rsidRPr="003556C1">
        <w:rPr>
          <w:rFonts w:ascii="Century Gothic" w:hAnsi="Century Gothic"/>
          <w:b w:val="0"/>
          <w:bCs w:val="0"/>
        </w:rPr>
        <w:t>Registro comercial, no caso de empresa individual;</w:t>
      </w:r>
    </w:p>
    <w:p w:rsidR="00233A96" w:rsidRPr="003556C1" w:rsidRDefault="001C04B4" w:rsidP="003556C1">
      <w:pPr>
        <w:pStyle w:val="Ttulo2"/>
        <w:keepNext w:val="0"/>
        <w:keepLines w:val="0"/>
        <w:numPr>
          <w:ilvl w:val="2"/>
          <w:numId w:val="1"/>
        </w:numPr>
        <w:spacing w:before="0" w:after="0" w:line="240" w:lineRule="auto"/>
        <w:ind w:left="141" w:firstLine="425"/>
        <w:rPr>
          <w:rFonts w:ascii="Century Gothic" w:hAnsi="Century Gothic"/>
        </w:rPr>
      </w:pPr>
      <w:r w:rsidRPr="003556C1">
        <w:rPr>
          <w:rFonts w:ascii="Century Gothic" w:hAnsi="Century Gothic"/>
          <w:b w:val="0"/>
          <w:bCs w:val="0"/>
        </w:rPr>
        <w:t>Ato constitutivo, estatuto ou contrato social em vigor, devidamente registrado, e, no caso de sociedades por ações, acompanhado de documentos de eleição dos administradores;</w:t>
      </w:r>
    </w:p>
    <w:p w:rsidR="00233A96" w:rsidRPr="003556C1" w:rsidRDefault="001C04B4" w:rsidP="003556C1">
      <w:pPr>
        <w:pStyle w:val="Ttulo2"/>
        <w:keepNext w:val="0"/>
        <w:keepLines w:val="0"/>
        <w:numPr>
          <w:ilvl w:val="2"/>
          <w:numId w:val="1"/>
        </w:numPr>
        <w:spacing w:before="0" w:after="0" w:line="240" w:lineRule="auto"/>
        <w:ind w:left="141" w:firstLine="425"/>
        <w:rPr>
          <w:rFonts w:ascii="Century Gothic" w:hAnsi="Century Gothic"/>
        </w:rPr>
      </w:pPr>
      <w:r w:rsidRPr="003556C1">
        <w:rPr>
          <w:rFonts w:ascii="Century Gothic" w:hAnsi="Century Gothic"/>
          <w:b w:val="0"/>
          <w:bCs w:val="0"/>
        </w:rPr>
        <w:t>Inscrição do ato constitutivo, no caso de sociedades simples, acompanhada de prova de diretoria em exercício;</w:t>
      </w:r>
    </w:p>
    <w:p w:rsidR="00233A96" w:rsidRPr="003556C1" w:rsidRDefault="001C04B4" w:rsidP="003556C1">
      <w:pPr>
        <w:pStyle w:val="Ttulo2"/>
        <w:keepNext w:val="0"/>
        <w:keepLines w:val="0"/>
        <w:numPr>
          <w:ilvl w:val="2"/>
          <w:numId w:val="1"/>
        </w:numPr>
        <w:spacing w:before="0" w:after="0" w:line="240" w:lineRule="auto"/>
        <w:ind w:left="141" w:firstLine="425"/>
        <w:rPr>
          <w:rFonts w:ascii="Century Gothic" w:hAnsi="Century Gothic"/>
        </w:rPr>
      </w:pPr>
      <w:r w:rsidRPr="003556C1">
        <w:rPr>
          <w:rFonts w:ascii="Century Gothic" w:hAnsi="Century Gothic"/>
          <w:b w:val="0"/>
          <w:bCs w:val="0"/>
        </w:rPr>
        <w:t>Decreto de autorização, em se tratando de empresa estrangeira em funcionamento no País;</w:t>
      </w:r>
    </w:p>
    <w:p w:rsidR="00233A96" w:rsidRPr="003556C1" w:rsidRDefault="001C04B4" w:rsidP="003556C1">
      <w:pPr>
        <w:pStyle w:val="Ttulo2"/>
        <w:keepNext w:val="0"/>
        <w:keepLines w:val="0"/>
        <w:numPr>
          <w:ilvl w:val="2"/>
          <w:numId w:val="1"/>
        </w:numPr>
        <w:spacing w:before="0" w:after="0" w:line="240" w:lineRule="auto"/>
        <w:ind w:left="141" w:firstLine="425"/>
        <w:rPr>
          <w:rFonts w:ascii="Century Gothic" w:hAnsi="Century Gothic"/>
        </w:rPr>
      </w:pPr>
      <w:r w:rsidRPr="003556C1">
        <w:rPr>
          <w:rFonts w:ascii="Century Gothic" w:hAnsi="Century Gothic"/>
          <w:b w:val="0"/>
          <w:bCs w:val="0"/>
        </w:rPr>
        <w:t>Certidão Simplificada emitida pela Junta Comercial, para ME ou EPP, com prazo de emissão de até 90 dias.</w:t>
      </w:r>
    </w:p>
    <w:p w:rsidR="00233A96" w:rsidRDefault="001C04B4" w:rsidP="003556C1">
      <w:pPr>
        <w:spacing w:before="0" w:after="0" w:line="240" w:lineRule="auto"/>
        <w:ind w:left="141" w:firstLine="425"/>
        <w:rPr>
          <w:rFonts w:ascii="Century Gothic" w:hAnsi="Century Gothic"/>
        </w:rPr>
      </w:pPr>
      <w:r w:rsidRPr="003556C1">
        <w:rPr>
          <w:rFonts w:ascii="Century Gothic" w:hAnsi="Century Gothic"/>
          <w:i/>
          <w:iCs/>
        </w:rPr>
        <w:t xml:space="preserve">Nota: </w:t>
      </w:r>
      <w:r w:rsidRPr="003556C1">
        <w:rPr>
          <w:rFonts w:ascii="Century Gothic" w:hAnsi="Century Gothic"/>
        </w:rPr>
        <w:t>O ato constitutivo deverá indicar ramo de atividade compatível com o objeto licitado.</w:t>
      </w:r>
    </w:p>
    <w:p w:rsidR="003556C1" w:rsidRPr="003556C1" w:rsidRDefault="003556C1" w:rsidP="003556C1">
      <w:pPr>
        <w:spacing w:before="0" w:after="0" w:line="240" w:lineRule="auto"/>
        <w:ind w:left="141" w:firstLine="425"/>
        <w:rPr>
          <w:rFonts w:ascii="Century Gothic" w:hAnsi="Century Gothic"/>
        </w:rPr>
      </w:pPr>
    </w:p>
    <w:p w:rsidR="00233A96" w:rsidRPr="003556C1" w:rsidRDefault="001C04B4" w:rsidP="003556C1">
      <w:pPr>
        <w:pStyle w:val="Ttulo2"/>
        <w:keepNext w:val="0"/>
        <w:keepLines w:val="0"/>
        <w:numPr>
          <w:ilvl w:val="1"/>
          <w:numId w:val="1"/>
        </w:numPr>
        <w:spacing w:before="0" w:after="0" w:line="240" w:lineRule="auto"/>
        <w:ind w:left="141" w:firstLine="425"/>
        <w:rPr>
          <w:rFonts w:ascii="Century Gothic" w:hAnsi="Century Gothic"/>
        </w:rPr>
      </w:pPr>
      <w:r w:rsidRPr="003556C1">
        <w:rPr>
          <w:rFonts w:ascii="Century Gothic" w:hAnsi="Century Gothic"/>
        </w:rPr>
        <w:t>Regularidade Fiscal e Trabalhista</w:t>
      </w:r>
    </w:p>
    <w:p w:rsidR="00233A96" w:rsidRPr="003556C1" w:rsidRDefault="001C04B4" w:rsidP="003556C1">
      <w:pPr>
        <w:pStyle w:val="Ttulo2"/>
        <w:keepNext w:val="0"/>
        <w:keepLines w:val="0"/>
        <w:numPr>
          <w:ilvl w:val="2"/>
          <w:numId w:val="1"/>
        </w:numPr>
        <w:spacing w:before="0" w:after="0" w:line="240" w:lineRule="auto"/>
        <w:ind w:left="141" w:firstLine="425"/>
        <w:rPr>
          <w:rFonts w:ascii="Century Gothic" w:hAnsi="Century Gothic"/>
        </w:rPr>
      </w:pPr>
      <w:r w:rsidRPr="003556C1">
        <w:rPr>
          <w:rFonts w:ascii="Century Gothic" w:hAnsi="Century Gothic"/>
          <w:b w:val="0"/>
          <w:bCs w:val="0"/>
        </w:rPr>
        <w:t>Prova de inscrição no Cadastro Nacional de Pessoa Jurídica (CNPJ);</w:t>
      </w:r>
    </w:p>
    <w:p w:rsidR="00233A96" w:rsidRPr="003556C1" w:rsidRDefault="001C04B4" w:rsidP="003556C1">
      <w:pPr>
        <w:pStyle w:val="Ttulo2"/>
        <w:keepNext w:val="0"/>
        <w:keepLines w:val="0"/>
        <w:numPr>
          <w:ilvl w:val="2"/>
          <w:numId w:val="1"/>
        </w:numPr>
        <w:spacing w:before="0" w:after="0" w:line="240" w:lineRule="auto"/>
        <w:ind w:left="141" w:firstLine="425"/>
        <w:rPr>
          <w:rFonts w:ascii="Century Gothic" w:hAnsi="Century Gothic"/>
        </w:rPr>
      </w:pPr>
      <w:r w:rsidRPr="003556C1">
        <w:rPr>
          <w:rFonts w:ascii="Century Gothic" w:hAnsi="Century Gothic"/>
          <w:b w:val="0"/>
          <w:bCs w:val="0"/>
        </w:rPr>
        <w:lastRenderedPageBreak/>
        <w:t>Prova de regularidade perante a Fazenda Federal, Estadual e Municipal da sede do licitante;</w:t>
      </w:r>
    </w:p>
    <w:p w:rsidR="00233A96" w:rsidRPr="003556C1" w:rsidRDefault="001C04B4" w:rsidP="003556C1">
      <w:pPr>
        <w:pStyle w:val="Ttulo2"/>
        <w:keepNext w:val="0"/>
        <w:keepLines w:val="0"/>
        <w:numPr>
          <w:ilvl w:val="2"/>
          <w:numId w:val="1"/>
        </w:numPr>
        <w:spacing w:before="0" w:after="0" w:line="240" w:lineRule="auto"/>
        <w:ind w:left="141" w:firstLine="425"/>
        <w:rPr>
          <w:rFonts w:ascii="Century Gothic" w:hAnsi="Century Gothic"/>
        </w:rPr>
      </w:pPr>
      <w:r w:rsidRPr="003556C1">
        <w:rPr>
          <w:rFonts w:ascii="Century Gothic" w:hAnsi="Century Gothic"/>
          <w:b w:val="0"/>
          <w:bCs w:val="0"/>
        </w:rPr>
        <w:t>Prova de regularidade relativa ao FGTS;</w:t>
      </w:r>
    </w:p>
    <w:p w:rsidR="00233A96" w:rsidRPr="003556C1" w:rsidRDefault="001C04B4" w:rsidP="003556C1">
      <w:pPr>
        <w:pStyle w:val="Ttulo2"/>
        <w:keepNext w:val="0"/>
        <w:keepLines w:val="0"/>
        <w:numPr>
          <w:ilvl w:val="2"/>
          <w:numId w:val="1"/>
        </w:numPr>
        <w:spacing w:before="0" w:after="0" w:line="240" w:lineRule="auto"/>
        <w:ind w:left="141" w:firstLine="425"/>
        <w:rPr>
          <w:rFonts w:ascii="Century Gothic" w:hAnsi="Century Gothic"/>
          <w:b w:val="0"/>
          <w:bCs w:val="0"/>
        </w:rPr>
      </w:pPr>
      <w:r w:rsidRPr="003556C1">
        <w:rPr>
          <w:rFonts w:ascii="Century Gothic" w:hAnsi="Century Gothic"/>
          <w:b w:val="0"/>
          <w:bCs w:val="0"/>
        </w:rPr>
        <w:t>Certidão Negativa de Débitos Trabalhistas (CNDT), nos termos da Lei nº 12.440/2011.</w:t>
      </w:r>
    </w:p>
    <w:p w:rsidR="00675215" w:rsidRPr="003556C1" w:rsidRDefault="00675215" w:rsidP="003556C1">
      <w:pPr>
        <w:spacing w:before="0" w:after="0" w:line="240" w:lineRule="auto"/>
        <w:rPr>
          <w:rFonts w:ascii="Century Gothic" w:hAnsi="Century Gothic"/>
        </w:rPr>
      </w:pPr>
    </w:p>
    <w:p w:rsidR="00233A96" w:rsidRPr="003556C1" w:rsidRDefault="001C04B4" w:rsidP="003556C1">
      <w:pPr>
        <w:pStyle w:val="Ttulo2"/>
        <w:keepNext w:val="0"/>
        <w:keepLines w:val="0"/>
        <w:numPr>
          <w:ilvl w:val="1"/>
          <w:numId w:val="1"/>
        </w:numPr>
        <w:spacing w:before="0" w:after="0" w:line="240" w:lineRule="auto"/>
        <w:ind w:left="141" w:firstLine="425"/>
        <w:rPr>
          <w:rFonts w:ascii="Century Gothic" w:hAnsi="Century Gothic"/>
        </w:rPr>
      </w:pPr>
      <w:r w:rsidRPr="003556C1">
        <w:rPr>
          <w:rFonts w:ascii="Century Gothic" w:hAnsi="Century Gothic"/>
        </w:rPr>
        <w:t>Qualificação Econômico-Financeira</w:t>
      </w:r>
    </w:p>
    <w:p w:rsidR="00233A96" w:rsidRPr="003556C1" w:rsidRDefault="001C04B4" w:rsidP="003556C1">
      <w:pPr>
        <w:pStyle w:val="Ttulo2"/>
        <w:keepNext w:val="0"/>
        <w:keepLines w:val="0"/>
        <w:numPr>
          <w:ilvl w:val="2"/>
          <w:numId w:val="1"/>
        </w:numPr>
        <w:spacing w:before="0" w:after="0" w:line="240" w:lineRule="auto"/>
        <w:ind w:left="141" w:firstLine="425"/>
        <w:rPr>
          <w:rFonts w:ascii="Century Gothic" w:hAnsi="Century Gothic"/>
        </w:rPr>
      </w:pPr>
      <w:r w:rsidRPr="003556C1">
        <w:rPr>
          <w:rFonts w:ascii="Century Gothic" w:hAnsi="Century Gothic"/>
          <w:b w:val="0"/>
          <w:bCs w:val="0"/>
        </w:rPr>
        <w:t>Balanço patrimonial e demonstrações contábeis dos 2 (dois) últimos exercícios sociais, na forma da lei, que comprovem:</w:t>
      </w:r>
    </w:p>
    <w:p w:rsidR="00233A96" w:rsidRPr="003556C1" w:rsidRDefault="001C04B4" w:rsidP="003556C1">
      <w:pPr>
        <w:pStyle w:val="Ttulo2"/>
        <w:keepNext w:val="0"/>
        <w:keepLines w:val="0"/>
        <w:numPr>
          <w:ilvl w:val="2"/>
          <w:numId w:val="1"/>
        </w:numPr>
        <w:spacing w:before="0" w:after="0" w:line="240" w:lineRule="auto"/>
        <w:ind w:left="141" w:firstLine="425"/>
        <w:rPr>
          <w:rFonts w:ascii="Century Gothic" w:hAnsi="Century Gothic"/>
        </w:rPr>
      </w:pPr>
      <w:r w:rsidRPr="003556C1">
        <w:rPr>
          <w:rFonts w:ascii="Century Gothic" w:hAnsi="Century Gothic"/>
          <w:b w:val="0"/>
          <w:bCs w:val="0"/>
        </w:rPr>
        <w:t>Índice de Liquidez Geral (LG) superior a 1,0 — LG = (AC + RLP) / (PC + ELP);</w:t>
      </w:r>
    </w:p>
    <w:p w:rsidR="00233A96" w:rsidRPr="003556C1" w:rsidRDefault="001C04B4" w:rsidP="003556C1">
      <w:pPr>
        <w:pStyle w:val="Ttulo2"/>
        <w:keepNext w:val="0"/>
        <w:keepLines w:val="0"/>
        <w:numPr>
          <w:ilvl w:val="2"/>
          <w:numId w:val="1"/>
        </w:numPr>
        <w:spacing w:before="0" w:after="0" w:line="240" w:lineRule="auto"/>
        <w:ind w:left="141" w:firstLine="425"/>
        <w:rPr>
          <w:rFonts w:ascii="Century Gothic" w:hAnsi="Century Gothic"/>
        </w:rPr>
      </w:pPr>
      <w:r w:rsidRPr="003556C1">
        <w:rPr>
          <w:rFonts w:ascii="Century Gothic" w:hAnsi="Century Gothic"/>
          <w:b w:val="0"/>
          <w:bCs w:val="0"/>
        </w:rPr>
        <w:t>Índice de Liquidez Corrente (LC) superior a 1,0 — LC = AC / PC;</w:t>
      </w:r>
    </w:p>
    <w:p w:rsidR="00233A96" w:rsidRPr="003556C1" w:rsidRDefault="001C04B4" w:rsidP="003556C1">
      <w:pPr>
        <w:pStyle w:val="Ttulo2"/>
        <w:keepNext w:val="0"/>
        <w:keepLines w:val="0"/>
        <w:numPr>
          <w:ilvl w:val="2"/>
          <w:numId w:val="1"/>
        </w:numPr>
        <w:spacing w:before="0" w:after="0" w:line="240" w:lineRule="auto"/>
        <w:ind w:left="141" w:firstLine="425"/>
        <w:rPr>
          <w:rFonts w:ascii="Century Gothic" w:hAnsi="Century Gothic"/>
        </w:rPr>
      </w:pPr>
      <w:r w:rsidRPr="003556C1">
        <w:rPr>
          <w:rFonts w:ascii="Century Gothic" w:hAnsi="Century Gothic"/>
          <w:b w:val="0"/>
          <w:bCs w:val="0"/>
        </w:rPr>
        <w:t>Índice de Solvência Geral (SG) superior a 1,0 — SG = AT / (PC + ELP).</w:t>
      </w:r>
    </w:p>
    <w:p w:rsidR="00233A96" w:rsidRPr="003556C1" w:rsidRDefault="001C04B4" w:rsidP="003556C1">
      <w:pPr>
        <w:pStyle w:val="Ttulo2"/>
        <w:keepNext w:val="0"/>
        <w:keepLines w:val="0"/>
        <w:numPr>
          <w:ilvl w:val="2"/>
          <w:numId w:val="1"/>
        </w:numPr>
        <w:spacing w:before="0" w:after="0" w:line="240" w:lineRule="auto"/>
        <w:ind w:left="141" w:firstLine="425"/>
        <w:rPr>
          <w:rFonts w:ascii="Century Gothic" w:hAnsi="Century Gothic"/>
        </w:rPr>
      </w:pPr>
      <w:r w:rsidRPr="003556C1">
        <w:rPr>
          <w:rFonts w:ascii="Century Gothic" w:hAnsi="Century Gothic"/>
          <w:b w:val="0"/>
          <w:bCs w:val="0"/>
        </w:rPr>
        <w:t>Certidão negativa de falência expedida pelo distribuidor da sede do licitante, nos termos do art. 69, II, da Lei nº 14.133/2021.</w:t>
      </w:r>
    </w:p>
    <w:p w:rsidR="00233A96" w:rsidRDefault="001C04B4" w:rsidP="003556C1">
      <w:pPr>
        <w:pStyle w:val="Ttulo2"/>
        <w:keepNext w:val="0"/>
        <w:keepLines w:val="0"/>
        <w:numPr>
          <w:ilvl w:val="2"/>
          <w:numId w:val="1"/>
        </w:numPr>
        <w:spacing w:before="0" w:after="0" w:line="240" w:lineRule="auto"/>
        <w:ind w:left="141" w:firstLine="425"/>
        <w:rPr>
          <w:rFonts w:ascii="Century Gothic" w:hAnsi="Century Gothic"/>
          <w:b w:val="0"/>
          <w:bCs w:val="0"/>
        </w:rPr>
      </w:pPr>
      <w:r w:rsidRPr="003556C1">
        <w:rPr>
          <w:rFonts w:ascii="Century Gothic" w:hAnsi="Century Gothic"/>
          <w:b w:val="0"/>
          <w:bCs w:val="0"/>
        </w:rPr>
        <w:t>Comprovação de capital mínimo ou patrimônio líquido de 10% (dez por cento) do valor estimado da contratação, mediante balanço patrimonial do último exercício.</w:t>
      </w:r>
    </w:p>
    <w:p w:rsidR="003556C1" w:rsidRPr="003556C1" w:rsidRDefault="003556C1" w:rsidP="003556C1">
      <w:pPr>
        <w:rPr>
          <w:sz w:val="2"/>
        </w:rPr>
      </w:pPr>
    </w:p>
    <w:p w:rsidR="00233A96" w:rsidRPr="003556C1" w:rsidRDefault="001C04B4" w:rsidP="003556C1">
      <w:pPr>
        <w:pStyle w:val="Ttulo2"/>
        <w:keepNext w:val="0"/>
        <w:keepLines w:val="0"/>
        <w:numPr>
          <w:ilvl w:val="1"/>
          <w:numId w:val="1"/>
        </w:numPr>
        <w:spacing w:before="0" w:after="0" w:line="240" w:lineRule="auto"/>
        <w:ind w:left="141" w:firstLine="425"/>
        <w:rPr>
          <w:rFonts w:ascii="Century Gothic" w:hAnsi="Century Gothic"/>
        </w:rPr>
      </w:pPr>
      <w:r w:rsidRPr="003556C1">
        <w:rPr>
          <w:rFonts w:ascii="Century Gothic" w:hAnsi="Century Gothic"/>
        </w:rPr>
        <w:t>Qualificação Técnica</w:t>
      </w:r>
    </w:p>
    <w:p w:rsidR="00233A96" w:rsidRPr="003556C1" w:rsidRDefault="001C04B4" w:rsidP="003556C1">
      <w:pPr>
        <w:pStyle w:val="Ttulo2"/>
        <w:keepNext w:val="0"/>
        <w:keepLines w:val="0"/>
        <w:numPr>
          <w:ilvl w:val="2"/>
          <w:numId w:val="1"/>
        </w:numPr>
        <w:spacing w:before="0" w:after="0" w:line="240" w:lineRule="auto"/>
        <w:ind w:left="141" w:firstLine="425"/>
        <w:rPr>
          <w:rFonts w:ascii="Century Gothic" w:hAnsi="Century Gothic"/>
        </w:rPr>
      </w:pPr>
      <w:r w:rsidRPr="003556C1">
        <w:rPr>
          <w:rFonts w:ascii="Century Gothic" w:hAnsi="Century Gothic"/>
          <w:b w:val="0"/>
          <w:bCs w:val="0"/>
        </w:rPr>
        <w:t>Capacidade técnica operacional: Atestado(s) de capacidade técnica, emitido(s) por pessoa jurídica de direito público ou privado, que comprove(m) experiência na execução de serviços de natureza e porte compatíveis com o objeto, especialmente:</w:t>
      </w:r>
    </w:p>
    <w:p w:rsidR="00233A96" w:rsidRPr="003556C1" w:rsidRDefault="001C04B4" w:rsidP="003556C1">
      <w:pPr>
        <w:pStyle w:val="Ttulo2"/>
        <w:keepNext w:val="0"/>
        <w:keepLines w:val="0"/>
        <w:numPr>
          <w:ilvl w:val="3"/>
          <w:numId w:val="1"/>
        </w:numPr>
        <w:spacing w:before="0" w:after="0" w:line="240" w:lineRule="auto"/>
        <w:ind w:hanging="360"/>
        <w:rPr>
          <w:rFonts w:ascii="Century Gothic" w:hAnsi="Century Gothic"/>
        </w:rPr>
      </w:pPr>
      <w:r w:rsidRPr="003556C1">
        <w:rPr>
          <w:rFonts w:ascii="Century Gothic" w:hAnsi="Century Gothic"/>
          <w:b w:val="0"/>
          <w:bCs w:val="0"/>
        </w:rPr>
        <w:t>gestão, planejamento e produção executiva de, no mínimo, 2 (dois) eventos de grande porte, com público aferido igual ou superior a 50.000 (cinquenta mil) pessoas por edição;</w:t>
      </w:r>
    </w:p>
    <w:p w:rsidR="00233A96" w:rsidRPr="003556C1" w:rsidRDefault="001C04B4" w:rsidP="003556C1">
      <w:pPr>
        <w:pStyle w:val="Ttulo2"/>
        <w:keepNext w:val="0"/>
        <w:keepLines w:val="0"/>
        <w:numPr>
          <w:ilvl w:val="3"/>
          <w:numId w:val="1"/>
        </w:numPr>
        <w:spacing w:before="0" w:after="0" w:line="240" w:lineRule="auto"/>
        <w:ind w:hanging="360"/>
        <w:rPr>
          <w:rFonts w:ascii="Century Gothic" w:hAnsi="Century Gothic"/>
          <w:color w:val="000000" w:themeColor="text1"/>
        </w:rPr>
      </w:pPr>
      <w:r w:rsidRPr="003556C1">
        <w:rPr>
          <w:rFonts w:ascii="Century Gothic" w:hAnsi="Century Gothic"/>
          <w:b w:val="0"/>
          <w:bCs w:val="0"/>
        </w:rPr>
        <w:t xml:space="preserve">experiência em evento de natureza cultural, gastronômica, folclórica ou de identidade regional, compatível com o perfil da Marejada (festa portuguesa) e da Festa do Colono — exigência cumprida quando ao menos 1 (um) dos atestados apresentados nas alíneas anteriores possuir essa natureza, admitindo-se a comprovação por evento de identidade cultural distinta, desde que de porte equivalente ao mínimo exigido (público igual ou superior a 50.000 pessoas), em </w:t>
      </w:r>
      <w:r w:rsidRPr="003556C1">
        <w:rPr>
          <w:rFonts w:ascii="Century Gothic" w:hAnsi="Century Gothic"/>
          <w:b w:val="0"/>
          <w:bCs w:val="0"/>
          <w:color w:val="000000" w:themeColor="text1"/>
        </w:rPr>
        <w:t xml:space="preserve">harmonia com a Seção 9 do Termo de Referência (Anexo I) </w:t>
      </w:r>
    </w:p>
    <w:p w:rsidR="00233A96" w:rsidRPr="003556C1" w:rsidRDefault="001C04B4" w:rsidP="003556C1">
      <w:pPr>
        <w:pStyle w:val="Ttulo2"/>
        <w:keepNext w:val="0"/>
        <w:keepLines w:val="0"/>
        <w:numPr>
          <w:ilvl w:val="3"/>
          <w:numId w:val="1"/>
        </w:numPr>
        <w:spacing w:before="0" w:after="0" w:line="240" w:lineRule="auto"/>
        <w:ind w:hanging="360"/>
        <w:rPr>
          <w:rFonts w:ascii="Century Gothic" w:hAnsi="Century Gothic"/>
          <w:b w:val="0"/>
          <w:bCs w:val="0"/>
          <w:color w:val="000000" w:themeColor="text1"/>
        </w:rPr>
      </w:pPr>
      <w:r w:rsidRPr="003556C1">
        <w:rPr>
          <w:rFonts w:ascii="Century Gothic" w:hAnsi="Century Gothic"/>
          <w:b w:val="0"/>
          <w:bCs w:val="0"/>
          <w:color w:val="000000" w:themeColor="text1"/>
        </w:rPr>
        <w:t>operação técnica de eventos com montagem de estruturas temporárias, segurança operacional, atendimento pré-hospitalar e articulação com órgãos públicos de segurança;</w:t>
      </w:r>
    </w:p>
    <w:p w:rsidR="00233A96" w:rsidRPr="003556C1" w:rsidRDefault="001C04B4" w:rsidP="003556C1">
      <w:pPr>
        <w:pStyle w:val="Ttulo2"/>
        <w:keepNext w:val="0"/>
        <w:keepLines w:val="0"/>
        <w:numPr>
          <w:ilvl w:val="3"/>
          <w:numId w:val="1"/>
        </w:numPr>
        <w:spacing w:before="0" w:after="0" w:line="240" w:lineRule="auto"/>
        <w:ind w:hanging="360"/>
        <w:rPr>
          <w:rFonts w:ascii="Century Gothic" w:hAnsi="Century Gothic"/>
          <w:b w:val="0"/>
          <w:bCs w:val="0"/>
          <w:color w:val="000000" w:themeColor="text1"/>
        </w:rPr>
      </w:pPr>
      <w:r w:rsidRPr="003556C1">
        <w:rPr>
          <w:rFonts w:ascii="Century Gothic" w:hAnsi="Century Gothic"/>
          <w:b w:val="0"/>
          <w:bCs w:val="0"/>
          <w:color w:val="000000" w:themeColor="text1"/>
        </w:rPr>
        <w:t>experiência em aferição de público com metodologia verificável e múltiplas fontes de dados.</w:t>
      </w:r>
    </w:p>
    <w:p w:rsidR="00233A96" w:rsidRPr="003556C1" w:rsidRDefault="001C04B4" w:rsidP="003556C1">
      <w:pPr>
        <w:pStyle w:val="Ttulo2"/>
        <w:keepNext w:val="0"/>
        <w:keepLines w:val="0"/>
        <w:numPr>
          <w:ilvl w:val="3"/>
          <w:numId w:val="1"/>
        </w:numPr>
        <w:spacing w:before="0" w:after="0" w:line="240" w:lineRule="auto"/>
        <w:ind w:hanging="360"/>
        <w:rPr>
          <w:rFonts w:ascii="Century Gothic" w:hAnsi="Century Gothic"/>
          <w:b w:val="0"/>
          <w:bCs w:val="0"/>
          <w:color w:val="000000" w:themeColor="text1"/>
        </w:rPr>
      </w:pPr>
      <w:r w:rsidRPr="003556C1">
        <w:rPr>
          <w:rFonts w:ascii="Century Gothic" w:hAnsi="Century Gothic"/>
          <w:b w:val="0"/>
          <w:bCs w:val="0"/>
          <w:color w:val="000000" w:themeColor="text1"/>
        </w:rPr>
        <w:t>Equipe-Chave: Indicação dos profissionais que integrarão a equipe-chave da contratação, conforme exigido no item 6.2, alínea 'h', acompanhada de currículos, cartas de aceite formais e documentação comprobatória de experiência.</w:t>
      </w:r>
    </w:p>
    <w:p w:rsidR="00233A96" w:rsidRPr="003556C1" w:rsidRDefault="001C04B4" w:rsidP="003556C1">
      <w:pPr>
        <w:pStyle w:val="Ttulo2"/>
        <w:keepNext w:val="0"/>
        <w:keepLines w:val="0"/>
        <w:numPr>
          <w:ilvl w:val="3"/>
          <w:numId w:val="1"/>
        </w:numPr>
        <w:spacing w:before="0" w:after="0" w:line="240" w:lineRule="auto"/>
        <w:ind w:hanging="360"/>
        <w:rPr>
          <w:rFonts w:ascii="Century Gothic" w:hAnsi="Century Gothic"/>
          <w:b w:val="0"/>
          <w:bCs w:val="0"/>
          <w:color w:val="000000" w:themeColor="text1"/>
        </w:rPr>
      </w:pPr>
      <w:r w:rsidRPr="003556C1">
        <w:rPr>
          <w:rFonts w:ascii="Century Gothic" w:hAnsi="Century Gothic"/>
          <w:b w:val="0"/>
          <w:bCs w:val="0"/>
          <w:color w:val="000000" w:themeColor="text1"/>
        </w:rPr>
        <w:lastRenderedPageBreak/>
        <w:t>Declaração de estrutura: Declaração formal de que o licitante dispõe, ou se compromete a disponibilizar até a assinatura do contrato, de estrutura operacional, logística e tecnológica adequada à execução do objeto, incluindo central de operações, sistema de comunicação, equipe de campo e capacidade de mobilização.</w:t>
      </w:r>
    </w:p>
    <w:p w:rsidR="00233A96" w:rsidRDefault="001C04B4" w:rsidP="003556C1">
      <w:pPr>
        <w:pStyle w:val="Ttulo2"/>
        <w:keepNext w:val="0"/>
        <w:keepLines w:val="0"/>
        <w:numPr>
          <w:ilvl w:val="3"/>
          <w:numId w:val="1"/>
        </w:numPr>
        <w:spacing w:before="0" w:after="0" w:line="240" w:lineRule="auto"/>
        <w:ind w:hanging="360"/>
        <w:rPr>
          <w:rFonts w:ascii="Century Gothic" w:hAnsi="Century Gothic"/>
          <w:b w:val="0"/>
          <w:bCs w:val="0"/>
          <w:color w:val="000000" w:themeColor="text1"/>
        </w:rPr>
      </w:pPr>
      <w:r w:rsidRPr="003556C1">
        <w:rPr>
          <w:rFonts w:ascii="Century Gothic" w:hAnsi="Century Gothic"/>
          <w:b w:val="0"/>
          <w:bCs w:val="0"/>
          <w:color w:val="000000" w:themeColor="text1"/>
        </w:rPr>
        <w:t>As exigências de qualificação técnica são proporcionais ao vulto e à complexidade da contratação e destinam-se a assegurar a capacidade do licitante, sem restringir indevidamente a competitividade, nos termos do art. 67, §1º, da Lei nº 14.133/2021.</w:t>
      </w:r>
    </w:p>
    <w:p w:rsidR="003556C1" w:rsidRPr="003556C1" w:rsidRDefault="003556C1" w:rsidP="003556C1">
      <w:pPr>
        <w:rPr>
          <w:sz w:val="2"/>
        </w:rPr>
      </w:pPr>
    </w:p>
    <w:p w:rsidR="00233A96" w:rsidRPr="003556C1" w:rsidRDefault="001C04B4" w:rsidP="003556C1">
      <w:pPr>
        <w:pStyle w:val="Ttulo2"/>
        <w:keepNext w:val="0"/>
        <w:keepLines w:val="0"/>
        <w:numPr>
          <w:ilvl w:val="1"/>
          <w:numId w:val="1"/>
        </w:numPr>
        <w:spacing w:before="0" w:after="0" w:line="240" w:lineRule="auto"/>
        <w:ind w:left="141" w:firstLine="425"/>
        <w:rPr>
          <w:rFonts w:ascii="Century Gothic" w:hAnsi="Century Gothic"/>
          <w:color w:val="000000" w:themeColor="text1"/>
        </w:rPr>
      </w:pPr>
      <w:r w:rsidRPr="003556C1">
        <w:rPr>
          <w:rFonts w:ascii="Century Gothic" w:hAnsi="Century Gothic"/>
          <w:color w:val="000000" w:themeColor="text1"/>
        </w:rPr>
        <w:t>Declaração Unificada</w:t>
      </w:r>
    </w:p>
    <w:p w:rsidR="00233A96" w:rsidRPr="003556C1" w:rsidRDefault="001C04B4" w:rsidP="003556C1">
      <w:pPr>
        <w:pStyle w:val="Ttulo2"/>
        <w:keepNext w:val="0"/>
        <w:keepLines w:val="0"/>
        <w:numPr>
          <w:ilvl w:val="2"/>
          <w:numId w:val="1"/>
        </w:numPr>
        <w:spacing w:before="0" w:after="0" w:line="240" w:lineRule="auto"/>
        <w:ind w:left="141" w:firstLine="425"/>
        <w:rPr>
          <w:rFonts w:ascii="Century Gothic" w:hAnsi="Century Gothic"/>
          <w:color w:val="000000" w:themeColor="text1"/>
        </w:rPr>
      </w:pPr>
      <w:r w:rsidRPr="003556C1">
        <w:rPr>
          <w:rFonts w:ascii="Century Gothic" w:hAnsi="Century Gothic"/>
          <w:b w:val="0"/>
          <w:bCs w:val="0"/>
          <w:color w:val="000000" w:themeColor="text1"/>
        </w:rPr>
        <w:t>Apresentar declaração unificada, conforme modelo do Anexo IX, atestando que:</w:t>
      </w:r>
    </w:p>
    <w:p w:rsidR="00233A96" w:rsidRPr="003556C1" w:rsidRDefault="001C04B4" w:rsidP="003556C1">
      <w:pPr>
        <w:pStyle w:val="Ttulo2"/>
        <w:keepNext w:val="0"/>
        <w:keepLines w:val="0"/>
        <w:numPr>
          <w:ilvl w:val="2"/>
          <w:numId w:val="1"/>
        </w:numPr>
        <w:spacing w:before="0" w:after="0" w:line="240" w:lineRule="auto"/>
        <w:ind w:left="141" w:firstLine="425"/>
        <w:rPr>
          <w:rFonts w:ascii="Century Gothic" w:hAnsi="Century Gothic"/>
          <w:color w:val="000000" w:themeColor="text1"/>
        </w:rPr>
      </w:pPr>
      <w:r w:rsidRPr="003556C1">
        <w:rPr>
          <w:rFonts w:ascii="Century Gothic" w:hAnsi="Century Gothic"/>
          <w:b w:val="0"/>
          <w:bCs w:val="0"/>
          <w:color w:val="000000" w:themeColor="text1"/>
        </w:rPr>
        <w:t>cumpre o disposto no art. 7º, XXXIII, da Constituição Federal (vedação ao trabalho infantil);</w:t>
      </w:r>
    </w:p>
    <w:p w:rsidR="00233A96" w:rsidRPr="003556C1" w:rsidRDefault="001C04B4" w:rsidP="003556C1">
      <w:pPr>
        <w:pStyle w:val="Ttulo2"/>
        <w:keepNext w:val="0"/>
        <w:keepLines w:val="0"/>
        <w:numPr>
          <w:ilvl w:val="2"/>
          <w:numId w:val="1"/>
        </w:numPr>
        <w:spacing w:before="0" w:after="0" w:line="240" w:lineRule="auto"/>
        <w:ind w:left="141" w:firstLine="425"/>
        <w:rPr>
          <w:rFonts w:ascii="Century Gothic" w:hAnsi="Century Gothic"/>
          <w:color w:val="000000" w:themeColor="text1"/>
        </w:rPr>
      </w:pPr>
      <w:r w:rsidRPr="003556C1">
        <w:rPr>
          <w:rFonts w:ascii="Century Gothic" w:hAnsi="Century Gothic"/>
          <w:b w:val="0"/>
          <w:bCs w:val="0"/>
          <w:color w:val="000000" w:themeColor="text1"/>
        </w:rPr>
        <w:t>sua proposta compreende a integralidade dos custos trabalhistas assegurados na Constituição Federal, leis trabalhistas e convenções coletivas vigentes;</w:t>
      </w:r>
    </w:p>
    <w:p w:rsidR="00233A96" w:rsidRPr="003556C1" w:rsidRDefault="001C04B4" w:rsidP="003556C1">
      <w:pPr>
        <w:pStyle w:val="Ttulo2"/>
        <w:keepNext w:val="0"/>
        <w:keepLines w:val="0"/>
        <w:numPr>
          <w:ilvl w:val="2"/>
          <w:numId w:val="1"/>
        </w:numPr>
        <w:spacing w:before="0" w:after="0" w:line="240" w:lineRule="auto"/>
        <w:ind w:left="141" w:firstLine="425"/>
        <w:rPr>
          <w:rFonts w:ascii="Century Gothic" w:hAnsi="Century Gothic"/>
          <w:color w:val="000000" w:themeColor="text1"/>
        </w:rPr>
      </w:pPr>
      <w:r w:rsidRPr="003556C1">
        <w:rPr>
          <w:rFonts w:ascii="Century Gothic" w:hAnsi="Century Gothic"/>
          <w:b w:val="0"/>
          <w:bCs w:val="0"/>
          <w:color w:val="000000" w:themeColor="text1"/>
        </w:rPr>
        <w:t>cumpre plenamente os requisitos de habilitação previstos neste Edital;</w:t>
      </w:r>
    </w:p>
    <w:p w:rsidR="00233A96" w:rsidRPr="003556C1" w:rsidRDefault="001C04B4" w:rsidP="003556C1">
      <w:pPr>
        <w:pStyle w:val="Ttulo2"/>
        <w:keepNext w:val="0"/>
        <w:keepLines w:val="0"/>
        <w:numPr>
          <w:ilvl w:val="2"/>
          <w:numId w:val="1"/>
        </w:numPr>
        <w:spacing w:before="0" w:after="0" w:line="240" w:lineRule="auto"/>
        <w:ind w:left="141" w:firstLine="425"/>
        <w:rPr>
          <w:rFonts w:ascii="Century Gothic" w:hAnsi="Century Gothic"/>
          <w:color w:val="000000" w:themeColor="text1"/>
        </w:rPr>
      </w:pPr>
      <w:r w:rsidRPr="003556C1">
        <w:rPr>
          <w:rFonts w:ascii="Century Gothic" w:hAnsi="Century Gothic"/>
          <w:b w:val="0"/>
          <w:bCs w:val="0"/>
          <w:color w:val="000000" w:themeColor="text1"/>
        </w:rPr>
        <w:t>não possui sócio, dirigente ou empregado em situação de impedimento, conforme item 3.3 deste Edital;</w:t>
      </w:r>
    </w:p>
    <w:p w:rsidR="00233A96" w:rsidRDefault="001C04B4" w:rsidP="003556C1">
      <w:pPr>
        <w:pStyle w:val="Ttulo2"/>
        <w:keepNext w:val="0"/>
        <w:keepLines w:val="0"/>
        <w:numPr>
          <w:ilvl w:val="2"/>
          <w:numId w:val="1"/>
        </w:numPr>
        <w:spacing w:before="0" w:after="0" w:line="240" w:lineRule="auto"/>
        <w:ind w:left="141" w:firstLine="425"/>
        <w:rPr>
          <w:rFonts w:ascii="Century Gothic" w:hAnsi="Century Gothic"/>
          <w:b w:val="0"/>
          <w:bCs w:val="0"/>
          <w:color w:val="000000" w:themeColor="text1"/>
        </w:rPr>
      </w:pPr>
      <w:r w:rsidRPr="003556C1">
        <w:rPr>
          <w:rFonts w:ascii="Century Gothic" w:hAnsi="Century Gothic"/>
          <w:b w:val="0"/>
          <w:bCs w:val="0"/>
          <w:color w:val="000000" w:themeColor="text1"/>
        </w:rPr>
        <w:t>não se encontra em nenhuma das hipóteses de vedação previstas no art. 14 da Lei nº 14.133/2021.</w:t>
      </w:r>
    </w:p>
    <w:p w:rsidR="003556C1" w:rsidRPr="003556C1" w:rsidRDefault="003556C1" w:rsidP="003556C1">
      <w:pPr>
        <w:rPr>
          <w:sz w:val="2"/>
        </w:rPr>
      </w:pPr>
    </w:p>
    <w:p w:rsidR="00233A96" w:rsidRPr="003556C1" w:rsidRDefault="001C04B4" w:rsidP="003556C1">
      <w:pPr>
        <w:pStyle w:val="Ttulo1"/>
        <w:keepNext w:val="0"/>
        <w:keepLines w:val="0"/>
        <w:numPr>
          <w:ilvl w:val="0"/>
          <w:numId w:val="1"/>
        </w:numPr>
        <w:spacing w:before="0" w:after="0" w:line="240" w:lineRule="auto"/>
        <w:ind w:left="141" w:firstLine="425"/>
        <w:rPr>
          <w:rFonts w:ascii="Century Gothic" w:hAnsi="Century Gothic"/>
          <w:b/>
          <w:bCs/>
          <w:color w:val="000000" w:themeColor="text1"/>
          <w:sz w:val="24"/>
          <w:szCs w:val="24"/>
        </w:rPr>
      </w:pPr>
      <w:r w:rsidRPr="003556C1">
        <w:rPr>
          <w:rFonts w:ascii="Century Gothic" w:hAnsi="Century Gothic"/>
          <w:b/>
          <w:bCs/>
          <w:color w:val="000000" w:themeColor="text1"/>
          <w:sz w:val="24"/>
          <w:szCs w:val="24"/>
        </w:rPr>
        <w:t>DA SUBCONTRATAÇÃO</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color w:val="000000" w:themeColor="text1"/>
          <w:sz w:val="24"/>
          <w:szCs w:val="24"/>
        </w:rPr>
      </w:pPr>
      <w:r w:rsidRPr="003556C1">
        <w:rPr>
          <w:rFonts w:ascii="Century Gothic" w:hAnsi="Century Gothic"/>
          <w:color w:val="000000" w:themeColor="text1"/>
          <w:sz w:val="24"/>
          <w:szCs w:val="24"/>
        </w:rPr>
        <w:t xml:space="preserve">É admitida a subcontratação parcial de atividades operacionais instrumentais, previamente autorizada pela SETUR, limitada às seguintes parcelas: locação, montagem e desmontagem de infraestrutura física temporária, incluindo palcos, tendas, sanitários, fechamentos, geradores e estruturas correlatas; locação e operação técnica de sistemas de áudio, sonorização, iluminação cênica e recursos audiovisuais; limpeza, conservação, zeladoria e manejo operacional de resíduos no perímetro do evento; segurança privada e patrimonial complementar, brigada de incêndio e atendimento pré-hospitalar; fornecimento de alimentação e bebidas em apoio à operação do evento e às equipes; transporte e logística operacional; sinalização, gestão de fluxos e execução de medidas físicas de mobilidade e acessibilidade; demais serviços de natureza estritamente operacional, instrumental ou acessória. </w:t>
      </w:r>
    </w:p>
    <w:p w:rsidR="00233A96" w:rsidRPr="003556C1" w:rsidRDefault="001C04B4" w:rsidP="003556C1">
      <w:pPr>
        <w:numPr>
          <w:ilvl w:val="1"/>
          <w:numId w:val="1"/>
        </w:numPr>
        <w:spacing w:before="0" w:after="0" w:line="240" w:lineRule="auto"/>
        <w:ind w:left="141" w:firstLine="425"/>
        <w:rPr>
          <w:rFonts w:ascii="Century Gothic" w:hAnsi="Century Gothic"/>
          <w:color w:val="000000" w:themeColor="text1"/>
        </w:rPr>
      </w:pPr>
      <w:r w:rsidRPr="003556C1">
        <w:rPr>
          <w:rFonts w:ascii="Century Gothic" w:hAnsi="Century Gothic"/>
          <w:color w:val="000000" w:themeColor="text1"/>
        </w:rPr>
        <w:t xml:space="preserve">O somatório das parcelas subcontratadas não poderá exceder 30% (trinta por cento) do valor global do contrato, assegurada a execução direta, pela Contratada, de, no mínimo, 70% (setenta por cento) do objeto, nele compreendida a parcela de maior relevância técnica e a integralidade do núcleo de coordenação, planejamento e governança, na forma da subseção "Subcontratação parcial" do Termo de Referência </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b/>
          <w:bCs/>
          <w:sz w:val="24"/>
          <w:szCs w:val="24"/>
        </w:rPr>
        <w:lastRenderedPageBreak/>
        <w:t>É vedada</w:t>
      </w:r>
      <w:r w:rsidRPr="003556C1">
        <w:rPr>
          <w:rFonts w:ascii="Century Gothic" w:hAnsi="Century Gothic"/>
          <w:sz w:val="24"/>
          <w:szCs w:val="24"/>
        </w:rPr>
        <w:t xml:space="preserve"> a subcontratação do </w:t>
      </w:r>
      <w:r w:rsidRPr="003556C1">
        <w:rPr>
          <w:rFonts w:ascii="Century Gothic" w:hAnsi="Century Gothic"/>
          <w:b/>
          <w:bCs/>
          <w:sz w:val="24"/>
          <w:szCs w:val="24"/>
        </w:rPr>
        <w:t>núcleo estratégico</w:t>
      </w:r>
      <w:r w:rsidRPr="003556C1">
        <w:rPr>
          <w:rFonts w:ascii="Century Gothic" w:hAnsi="Century Gothic"/>
          <w:sz w:val="24"/>
          <w:szCs w:val="24"/>
        </w:rPr>
        <w:t xml:space="preserve"> do contrato, compreendendo: planejamento integrado, gestão executiva, curadoria artístico-cultural, comunicação institucional, aferição de público, coordenação estratégica, relacionamento com a SETUR e consolidação dos relatórios pós-evento, nos termos do Termo de Referência (Anexo I) e da Matriz de Riscos (Anexo IV).</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 subcontratação parcial autorizada não exime a Contratada da responsabilidade integral pela execução do objeto, pela qualidade dos serviços, pela segurança da operação e pelo cumprimento de todas as obrigações contratuais.</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 Contratada deverá apresentar à SETUR a documentação de regularidade fiscal e trabalhista das subcontratadas, quando solicitada.</w:t>
      </w: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É vedada a subcontratação em cadeia (sub-subcontratação), salvo autorização excepcional e fundamentada da SETUR.</w:t>
      </w:r>
    </w:p>
    <w:p w:rsidR="003556C1" w:rsidRPr="003556C1" w:rsidRDefault="003556C1" w:rsidP="003556C1">
      <w:pPr>
        <w:rPr>
          <w:sz w:val="2"/>
        </w:rPr>
      </w:pPr>
    </w:p>
    <w:p w:rsidR="00233A96" w:rsidRPr="003556C1" w:rsidRDefault="001C04B4" w:rsidP="003556C1">
      <w:pPr>
        <w:pStyle w:val="Ttulo1"/>
        <w:keepNext w:val="0"/>
        <w:keepLines w:val="0"/>
        <w:numPr>
          <w:ilvl w:val="0"/>
          <w:numId w:val="1"/>
        </w:numPr>
        <w:spacing w:before="0" w:after="0" w:line="240" w:lineRule="auto"/>
        <w:ind w:left="141" w:firstLine="425"/>
        <w:rPr>
          <w:rFonts w:ascii="Century Gothic" w:hAnsi="Century Gothic"/>
          <w:b/>
          <w:bCs/>
          <w:sz w:val="24"/>
          <w:szCs w:val="24"/>
        </w:rPr>
      </w:pPr>
      <w:r w:rsidRPr="003556C1">
        <w:rPr>
          <w:rFonts w:ascii="Century Gothic" w:hAnsi="Century Gothic"/>
          <w:b/>
          <w:bCs/>
          <w:sz w:val="24"/>
          <w:szCs w:val="24"/>
        </w:rPr>
        <w:t>DA GARANTIA CONTRATUAL</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 Contratada deverá prestar garantia de execução correspondente a 5% (cinco por cento) do valor global do contrato, em uma das modalidades previstas no art. 96 da Lei nº 14.133/2021:</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caução em dinheiro ou em títulos da dívida pública;</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seguro-garantia;</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fiança bancária.</w:t>
      </w:r>
    </w:p>
    <w:p w:rsidR="00233A96" w:rsidRPr="003556C1"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A garantia deverá ser apresentada no prazo de até 10 (dez) dias úteis após a assinatura do contrato, sob pena de rescisão e convocação do remanescente.</w:t>
      </w:r>
    </w:p>
    <w:p w:rsidR="00233A96" w:rsidRPr="003556C1"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A garantia deverá ter validade durante toda a vigência contratual e 90 (noventa) dias após o término da vigência, sendo liberada após o cumprimento integral das obrigações e a emissão do termo de recebimento definitivo do último evento do ciclo.</w:t>
      </w:r>
    </w:p>
    <w:p w:rsidR="00233A96" w:rsidRPr="003556C1"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A garantia responderá pelo inadimplemento das obrigações contratuais, pelas multas aplicadas e pelos prejuízos causados à Administração.</w:t>
      </w:r>
    </w:p>
    <w:p w:rsidR="00675215" w:rsidRPr="003556C1" w:rsidRDefault="00675215" w:rsidP="003556C1">
      <w:pPr>
        <w:spacing w:before="0" w:after="0" w:line="240" w:lineRule="auto"/>
        <w:ind w:left="566" w:firstLine="0"/>
        <w:rPr>
          <w:rFonts w:ascii="Century Gothic" w:hAnsi="Century Gothic"/>
        </w:rPr>
      </w:pPr>
    </w:p>
    <w:p w:rsidR="00233A96" w:rsidRPr="003556C1" w:rsidRDefault="001C04B4" w:rsidP="003556C1">
      <w:pPr>
        <w:pStyle w:val="Ttulo1"/>
        <w:keepNext w:val="0"/>
        <w:keepLines w:val="0"/>
        <w:numPr>
          <w:ilvl w:val="0"/>
          <w:numId w:val="1"/>
        </w:numPr>
        <w:spacing w:before="0" w:after="0" w:line="240" w:lineRule="auto"/>
        <w:ind w:left="141" w:firstLine="425"/>
        <w:rPr>
          <w:rFonts w:ascii="Century Gothic" w:hAnsi="Century Gothic"/>
          <w:b/>
          <w:bCs/>
          <w:sz w:val="24"/>
          <w:szCs w:val="24"/>
        </w:rPr>
      </w:pPr>
      <w:r w:rsidRPr="003556C1">
        <w:rPr>
          <w:rFonts w:ascii="Century Gothic" w:hAnsi="Century Gothic"/>
          <w:b/>
          <w:bCs/>
          <w:sz w:val="24"/>
          <w:szCs w:val="24"/>
        </w:rPr>
        <w:t>DA IMPUGNAÇÃO AO EDITAL E DOS RECURSOS</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Até 3 (três) dias úteis anteriores à data fixada para abertura da sessão pública, qualquer pessoa poderá impugnar o Edital ou solicitar esclarecimentos, por meio da plataforma BNC, nos termos do art. 164 da Lei nº 14.133/2021.</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As respostas às impugnações e esclarecimentos serão disponibilizadas na plataforma BNC, vinculando todos os licitantes.</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Ao final da sessão, o licitante que desejar recorrer contra decisões da Comissão deverá manifestar intenção com registro da síntese das razões, apresentando memoriais no prazo de 3 (três) dias úteis. Os demais interessados ficam intimados a apresentar contrarrazões em igual prazo.</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lastRenderedPageBreak/>
        <w:t>A falta de manifestação imediata e motivada importará preclusão do direito de recurso.</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Os recursos contra decisões da Comissão não terão efeito suspensivo, salvo decisão em contrário da autoridade competente.</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O acolhimento de recurso importará a invalidação apenas dos atos insuscetíveis de aproveitamento.</w:t>
      </w: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As impugnações, esclarecimentos, recursos e contrarrazões deverão ser encaminhados exclusivamente por meio da plataforma BNC.</w:t>
      </w:r>
    </w:p>
    <w:p w:rsidR="003556C1" w:rsidRPr="003556C1" w:rsidRDefault="003556C1" w:rsidP="003556C1">
      <w:pPr>
        <w:rPr>
          <w:sz w:val="2"/>
        </w:rPr>
      </w:pPr>
    </w:p>
    <w:p w:rsidR="00233A96" w:rsidRPr="003556C1" w:rsidRDefault="001C04B4" w:rsidP="003556C1">
      <w:pPr>
        <w:pStyle w:val="Ttulo1"/>
        <w:keepNext w:val="0"/>
        <w:keepLines w:val="0"/>
        <w:numPr>
          <w:ilvl w:val="0"/>
          <w:numId w:val="1"/>
        </w:numPr>
        <w:spacing w:before="0" w:after="0" w:line="240" w:lineRule="auto"/>
        <w:ind w:left="141" w:firstLine="425"/>
        <w:rPr>
          <w:rFonts w:ascii="Century Gothic" w:hAnsi="Century Gothic"/>
          <w:b/>
          <w:bCs/>
          <w:sz w:val="24"/>
          <w:szCs w:val="24"/>
        </w:rPr>
      </w:pPr>
      <w:r w:rsidRPr="003556C1">
        <w:rPr>
          <w:rFonts w:ascii="Century Gothic" w:hAnsi="Century Gothic"/>
          <w:b/>
          <w:bCs/>
          <w:sz w:val="24"/>
          <w:szCs w:val="24"/>
        </w:rPr>
        <w:t>DAS SANÇÕES ADMINISTRATIVAS</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Pela inexecução total ou parcial do objeto, pela execução irregular, pelo atraso injustificado ou pelo descumprimento de quaisquer obrigações assumidas no âmbito da licitação ou do contrato, o licitante ou a Contratada ficará sujeito às sanções administrativas previstas nos arts. 155 a 163 da Lei nº 14.133/2021, assegurados o contraditório e a ampla defesa.</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As sanções poderão ser aplicadas isolada ou cumulativamente, conforme a natureza e a gravidade da infração, observados os princípios da proporcionalidade e da razoabilidade:</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Advertência, nas hipóteses de infração de menor gravidade;</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Multa, nas seguintes situações:</w:t>
      </w:r>
    </w:p>
    <w:p w:rsidR="00233A96" w:rsidRPr="003556C1" w:rsidRDefault="001C04B4" w:rsidP="003556C1">
      <w:pPr>
        <w:pStyle w:val="Ttulo1"/>
        <w:keepNext w:val="0"/>
        <w:keepLines w:val="0"/>
        <w:numPr>
          <w:ilvl w:val="3"/>
          <w:numId w:val="1"/>
        </w:numPr>
        <w:spacing w:before="0" w:after="0" w:line="240" w:lineRule="auto"/>
        <w:ind w:hanging="360"/>
        <w:rPr>
          <w:rFonts w:ascii="Century Gothic" w:hAnsi="Century Gothic"/>
          <w:sz w:val="24"/>
          <w:szCs w:val="24"/>
        </w:rPr>
      </w:pPr>
      <w:r w:rsidRPr="003556C1">
        <w:rPr>
          <w:rFonts w:ascii="Century Gothic" w:hAnsi="Century Gothic"/>
          <w:sz w:val="24"/>
          <w:szCs w:val="24"/>
        </w:rPr>
        <w:t>0,5% do valor do contrato, por dia de atraso injustificado, limitada a 10% do valor contratual;</w:t>
      </w:r>
    </w:p>
    <w:p w:rsidR="00233A96" w:rsidRPr="003556C1" w:rsidRDefault="001C04B4" w:rsidP="003556C1">
      <w:pPr>
        <w:pStyle w:val="Ttulo1"/>
        <w:keepNext w:val="0"/>
        <w:keepLines w:val="0"/>
        <w:numPr>
          <w:ilvl w:val="3"/>
          <w:numId w:val="1"/>
        </w:numPr>
        <w:spacing w:before="0" w:after="0" w:line="240" w:lineRule="auto"/>
        <w:ind w:hanging="360"/>
        <w:rPr>
          <w:rFonts w:ascii="Century Gothic" w:hAnsi="Century Gothic"/>
          <w:sz w:val="24"/>
          <w:szCs w:val="24"/>
        </w:rPr>
      </w:pPr>
      <w:r w:rsidRPr="003556C1">
        <w:rPr>
          <w:rFonts w:ascii="Century Gothic" w:hAnsi="Century Gothic"/>
          <w:sz w:val="24"/>
          <w:szCs w:val="24"/>
        </w:rPr>
        <w:t>10% do valor do saldo contratual remanescente, em caso de inexecução parcial relevante;</w:t>
      </w:r>
    </w:p>
    <w:p w:rsidR="00233A96" w:rsidRPr="003556C1" w:rsidRDefault="001C04B4" w:rsidP="003556C1">
      <w:pPr>
        <w:pStyle w:val="Ttulo1"/>
        <w:keepNext w:val="0"/>
        <w:keepLines w:val="0"/>
        <w:numPr>
          <w:ilvl w:val="3"/>
          <w:numId w:val="1"/>
        </w:numPr>
        <w:spacing w:before="0" w:after="0" w:line="240" w:lineRule="auto"/>
        <w:ind w:hanging="360"/>
        <w:rPr>
          <w:rFonts w:ascii="Century Gothic" w:hAnsi="Century Gothic"/>
          <w:sz w:val="24"/>
          <w:szCs w:val="24"/>
        </w:rPr>
      </w:pPr>
      <w:r w:rsidRPr="003556C1">
        <w:rPr>
          <w:rFonts w:ascii="Century Gothic" w:hAnsi="Century Gothic"/>
          <w:sz w:val="24"/>
          <w:szCs w:val="24"/>
        </w:rPr>
        <w:t>10% do valor do contrato, pela execução em desacordo com as especificações técnicas;</w:t>
      </w:r>
    </w:p>
    <w:p w:rsidR="00233A96" w:rsidRPr="003556C1" w:rsidRDefault="001C04B4" w:rsidP="003556C1">
      <w:pPr>
        <w:pStyle w:val="Ttulo1"/>
        <w:keepNext w:val="0"/>
        <w:keepLines w:val="0"/>
        <w:numPr>
          <w:ilvl w:val="3"/>
          <w:numId w:val="1"/>
        </w:numPr>
        <w:spacing w:before="0" w:after="0" w:line="240" w:lineRule="auto"/>
        <w:ind w:hanging="360"/>
        <w:rPr>
          <w:rFonts w:ascii="Century Gothic" w:hAnsi="Century Gothic"/>
          <w:sz w:val="24"/>
          <w:szCs w:val="24"/>
        </w:rPr>
      </w:pPr>
      <w:r w:rsidRPr="003556C1">
        <w:rPr>
          <w:rFonts w:ascii="Century Gothic" w:hAnsi="Century Gothic"/>
          <w:sz w:val="24"/>
          <w:szCs w:val="24"/>
        </w:rPr>
        <w:t>10% do valor da proposta, na hipótese de recusa injustificada em assinar o contrato;</w:t>
      </w:r>
    </w:p>
    <w:p w:rsidR="00233A96" w:rsidRPr="003556C1" w:rsidRDefault="001C04B4" w:rsidP="003556C1">
      <w:pPr>
        <w:pStyle w:val="Ttulo1"/>
        <w:keepNext w:val="0"/>
        <w:keepLines w:val="0"/>
        <w:numPr>
          <w:ilvl w:val="3"/>
          <w:numId w:val="1"/>
        </w:numPr>
        <w:spacing w:before="0" w:after="0" w:line="240" w:lineRule="auto"/>
        <w:ind w:hanging="360"/>
        <w:rPr>
          <w:rFonts w:ascii="Century Gothic" w:hAnsi="Century Gothic"/>
          <w:sz w:val="24"/>
          <w:szCs w:val="24"/>
        </w:rPr>
      </w:pPr>
      <w:r w:rsidRPr="003556C1">
        <w:rPr>
          <w:rFonts w:ascii="Century Gothic" w:hAnsi="Century Gothic"/>
          <w:sz w:val="24"/>
          <w:szCs w:val="24"/>
        </w:rPr>
        <w:t>Impedimento de licitar e contratar com a Administração Pública, pelo prazo de até 3 (três) anos, nos termos do art. 156, III, da Lei nº 14.133/2021;</w:t>
      </w:r>
    </w:p>
    <w:p w:rsidR="00233A96" w:rsidRPr="003556C1" w:rsidRDefault="001C04B4" w:rsidP="003556C1">
      <w:pPr>
        <w:pStyle w:val="Ttulo1"/>
        <w:keepNext w:val="0"/>
        <w:keepLines w:val="0"/>
        <w:numPr>
          <w:ilvl w:val="3"/>
          <w:numId w:val="1"/>
        </w:numPr>
        <w:spacing w:before="0" w:after="0" w:line="240" w:lineRule="auto"/>
        <w:ind w:hanging="360"/>
        <w:rPr>
          <w:rFonts w:ascii="Century Gothic" w:hAnsi="Century Gothic"/>
          <w:sz w:val="24"/>
          <w:szCs w:val="24"/>
        </w:rPr>
      </w:pPr>
      <w:r w:rsidRPr="003556C1">
        <w:rPr>
          <w:rFonts w:ascii="Century Gothic" w:hAnsi="Century Gothic"/>
          <w:sz w:val="24"/>
          <w:szCs w:val="24"/>
        </w:rPr>
        <w:t>Declaração de inidoneidade, nos termos do art. 156, IV, da Lei nº 14.133/2021.</w:t>
      </w:r>
    </w:p>
    <w:p w:rsidR="00233A96" w:rsidRPr="003556C1"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As sanções deste item são cumuláveis com a aplicação do FAD e das glosas previstas no Anexo de Indicadores de Desempenho — KPIs (Anexo V) e na Matriz de Riscos (Anexo IV), observada a vedação ao bis in idem.</w:t>
      </w:r>
    </w:p>
    <w:p w:rsidR="00233A96" w:rsidRPr="003556C1"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A aplicação das sanções não exime o infrator da obrigação de indenizar integralmente os prejuízos causados.</w:t>
      </w:r>
    </w:p>
    <w:p w:rsidR="00233A96" w:rsidRPr="003556C1"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As multas poderão ser descontadas dos pagamentos devidos à Contratada, da garantia contratual ou cobradas judicialmente.</w:t>
      </w:r>
    </w:p>
    <w:p w:rsidR="00233A96"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As sanções de impedimento e inidoneidade serão registradas no PNCP e nos cadastros competentes.</w:t>
      </w:r>
    </w:p>
    <w:p w:rsidR="003556C1" w:rsidRPr="003556C1" w:rsidRDefault="003556C1" w:rsidP="003556C1">
      <w:pPr>
        <w:spacing w:before="0" w:after="0" w:line="240" w:lineRule="auto"/>
        <w:ind w:left="566" w:firstLine="0"/>
        <w:rPr>
          <w:rFonts w:ascii="Century Gothic" w:hAnsi="Century Gothic"/>
        </w:rPr>
      </w:pPr>
    </w:p>
    <w:p w:rsidR="00233A96" w:rsidRPr="003556C1" w:rsidRDefault="001C04B4" w:rsidP="003556C1">
      <w:pPr>
        <w:pStyle w:val="Ttulo1"/>
        <w:keepNext w:val="0"/>
        <w:keepLines w:val="0"/>
        <w:numPr>
          <w:ilvl w:val="0"/>
          <w:numId w:val="1"/>
        </w:numPr>
        <w:spacing w:before="0" w:after="0" w:line="240" w:lineRule="auto"/>
        <w:ind w:left="141" w:firstLine="425"/>
        <w:rPr>
          <w:rFonts w:ascii="Century Gothic" w:hAnsi="Century Gothic"/>
          <w:b/>
          <w:bCs/>
          <w:sz w:val="24"/>
          <w:szCs w:val="24"/>
        </w:rPr>
      </w:pPr>
      <w:r w:rsidRPr="003556C1">
        <w:rPr>
          <w:rFonts w:ascii="Century Gothic" w:hAnsi="Century Gothic"/>
          <w:b/>
          <w:bCs/>
          <w:sz w:val="24"/>
          <w:szCs w:val="24"/>
        </w:rPr>
        <w:t>DO PAGAMENTO</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O pagamento será composto por:</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b/>
          <w:bCs/>
          <w:sz w:val="24"/>
          <w:szCs w:val="24"/>
        </w:rPr>
        <w:lastRenderedPageBreak/>
        <w:t>Parcela Fixa — c</w:t>
      </w:r>
      <w:r w:rsidRPr="003556C1">
        <w:rPr>
          <w:rFonts w:ascii="Century Gothic" w:hAnsi="Century Gothic"/>
          <w:sz w:val="24"/>
          <w:szCs w:val="24"/>
        </w:rPr>
        <w:t>orrespondente ao mínimo garantido de 60% do público de referência de cada evento, multiplicado pelo per capita contratado, calculada pela fórmula PF = (0,60 × Público de Referência) × Per Capita Contratado, paga por evento em duas tranches (30% na aprovação dos planos da fase de pré-produção e 70% na realização do evento), conforme cronograma de desembolso e marcos do Termo de Referência (Anexo I), Seção 11, condicionada à comprovação da execução integral da infraestrutura e dos serviços contratualmente previstos;</w:t>
      </w:r>
    </w:p>
    <w:p w:rsidR="00233A96" w:rsidRPr="003556C1"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b/>
          <w:bCs/>
          <w:sz w:val="24"/>
          <w:szCs w:val="24"/>
        </w:rPr>
        <w:t xml:space="preserve">Parcela Variável — </w:t>
      </w:r>
      <w:r w:rsidRPr="003556C1">
        <w:rPr>
          <w:rFonts w:ascii="Century Gothic" w:eastAsia="Gungsuh" w:hAnsi="Century Gothic" w:cs="Gungsuh"/>
          <w:sz w:val="24"/>
          <w:szCs w:val="24"/>
        </w:rPr>
        <w:t xml:space="preserve">calculada, para cada evento, em duas etapas, nos termos do Termo de Referência (Seção 10) e do Anexo de Indicadores de Desempenho (Anexo V): (i) PVbruta = (Público Aferido Pagável − 0,60 × Público de Referência) × Per Capita Contratado, em que 'Público Aferido Pagável' corresponde ao menor valor entre o público efetivamente aferido conforme o POP (Anexo VI) e o teto de 115% do público de referência; (ii) PVlíquida = PVbruta × FAD, sendo o FAD apurado conforme o Anexo V. </w:t>
      </w:r>
    </w:p>
    <w:p w:rsidR="00233A96" w:rsidRDefault="001C04B4" w:rsidP="003556C1">
      <w:pPr>
        <w:pStyle w:val="Ttulo1"/>
        <w:keepNext w:val="0"/>
        <w:keepLines w:val="0"/>
        <w:numPr>
          <w:ilvl w:val="2"/>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 remuneração total do evento corresponderá à soma da Parcela Fixa e da PVlíquida. Se o público aferido for inferior a 60% do público de referência, a Parcela Variável será igual a zero, devida apenas a Parcela Fixa, observada a com</w:t>
      </w:r>
      <w:r w:rsidR="003556C1">
        <w:rPr>
          <w:rFonts w:ascii="Century Gothic" w:hAnsi="Century Gothic"/>
          <w:sz w:val="24"/>
          <w:szCs w:val="24"/>
        </w:rPr>
        <w:t xml:space="preserve">provação da execução integral. </w:t>
      </w:r>
    </w:p>
    <w:p w:rsidR="003556C1" w:rsidRPr="003556C1" w:rsidRDefault="003556C1" w:rsidP="003556C1">
      <w:pPr>
        <w:rPr>
          <w:sz w:val="2"/>
        </w:rPr>
      </w:pPr>
    </w:p>
    <w:p w:rsidR="00233A96"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O pagamento será efetuado no prazo de até 30 (trinta) dias contados da apresentação da nota fiscal/fatura, devidamente atestada pelo Fiscal Técnico e aprovada pelo Gestor do Contrato.</w:t>
      </w:r>
    </w:p>
    <w:p w:rsidR="003556C1" w:rsidRPr="003556C1" w:rsidRDefault="003556C1" w:rsidP="003556C1">
      <w:pPr>
        <w:spacing w:before="0" w:after="0" w:line="240" w:lineRule="auto"/>
        <w:ind w:left="566" w:firstLine="0"/>
        <w:rPr>
          <w:rFonts w:ascii="Century Gothic" w:hAnsi="Century Gothic"/>
        </w:rPr>
      </w:pPr>
    </w:p>
    <w:p w:rsidR="00233A96"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Nos preços ofertados estão inclusos todos os custos e despesas decorrentes de transporte, seguros, tributos, taxas e quaisquer outros que impliquem no fiel cumprimento do contrato.</w:t>
      </w:r>
    </w:p>
    <w:p w:rsidR="003556C1" w:rsidRPr="003556C1" w:rsidRDefault="003556C1" w:rsidP="003556C1">
      <w:pPr>
        <w:spacing w:before="0" w:after="0" w:line="240" w:lineRule="auto"/>
        <w:ind w:left="0" w:firstLine="0"/>
        <w:rPr>
          <w:rFonts w:ascii="Century Gothic" w:hAnsi="Century Gothic"/>
        </w:rPr>
      </w:pPr>
    </w:p>
    <w:p w:rsidR="00233A96"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Quando houver erro na nota fiscal, o documento será devolvido para substituição, ficando o prazo de pagamento suspenso até a regularização.</w:t>
      </w:r>
    </w:p>
    <w:p w:rsidR="003556C1" w:rsidRPr="003556C1" w:rsidRDefault="003556C1" w:rsidP="003556C1">
      <w:pPr>
        <w:spacing w:before="0" w:after="0" w:line="240" w:lineRule="auto"/>
        <w:ind w:left="0" w:firstLine="0"/>
        <w:rPr>
          <w:rFonts w:ascii="Century Gothic" w:hAnsi="Century Gothic"/>
        </w:rPr>
      </w:pPr>
    </w:p>
    <w:p w:rsidR="00233A96" w:rsidRDefault="001C04B4" w:rsidP="003556C1">
      <w:pPr>
        <w:numPr>
          <w:ilvl w:val="1"/>
          <w:numId w:val="1"/>
        </w:numPr>
        <w:spacing w:before="0" w:after="0" w:line="240" w:lineRule="auto"/>
        <w:ind w:left="141" w:firstLine="425"/>
        <w:rPr>
          <w:rFonts w:ascii="Century Gothic" w:hAnsi="Century Gothic"/>
          <w:color w:val="000000" w:themeColor="text1"/>
        </w:rPr>
      </w:pPr>
      <w:r w:rsidRPr="003556C1">
        <w:rPr>
          <w:rFonts w:ascii="Century Gothic" w:hAnsi="Century Gothic"/>
        </w:rPr>
        <w:t xml:space="preserve">O pagamento de qualquer parcela fica condicionado à apresentação de: CRF (FGTS), </w:t>
      </w:r>
      <w:r w:rsidRPr="003556C1">
        <w:rPr>
          <w:rFonts w:ascii="Century Gothic" w:hAnsi="Century Gothic"/>
          <w:color w:val="000000" w:themeColor="text1"/>
        </w:rPr>
        <w:t>CND (INSS), certidões de regularidade fiscal federal, estadual e municipal, e CNDT, todos com prazo de validade vigente.</w:t>
      </w:r>
    </w:p>
    <w:p w:rsidR="003556C1" w:rsidRPr="003556C1" w:rsidRDefault="003556C1" w:rsidP="003556C1">
      <w:pPr>
        <w:spacing w:before="0" w:after="0" w:line="240" w:lineRule="auto"/>
        <w:ind w:left="0" w:firstLine="0"/>
        <w:rPr>
          <w:rFonts w:ascii="Century Gothic" w:hAnsi="Century Gothic"/>
          <w:color w:val="000000" w:themeColor="text1"/>
        </w:rPr>
      </w:pPr>
    </w:p>
    <w:p w:rsidR="00233A96" w:rsidRDefault="001C04B4" w:rsidP="003556C1">
      <w:pPr>
        <w:numPr>
          <w:ilvl w:val="1"/>
          <w:numId w:val="1"/>
        </w:numPr>
        <w:spacing w:before="0" w:after="0" w:line="240" w:lineRule="auto"/>
        <w:ind w:left="141" w:firstLine="425"/>
        <w:rPr>
          <w:rFonts w:ascii="Century Gothic" w:hAnsi="Century Gothic"/>
          <w:color w:val="000000" w:themeColor="text1"/>
        </w:rPr>
      </w:pPr>
      <w:r w:rsidRPr="003556C1">
        <w:rPr>
          <w:rFonts w:ascii="Century Gothic" w:hAnsi="Century Gothic"/>
          <w:color w:val="000000" w:themeColor="text1"/>
        </w:rPr>
        <w:t>Caso não comprovada a regularidade, o pagamento será suspenso até a regularização.</w:t>
      </w:r>
    </w:p>
    <w:p w:rsidR="003556C1" w:rsidRPr="003556C1" w:rsidRDefault="003556C1" w:rsidP="003556C1">
      <w:pPr>
        <w:spacing w:before="0" w:after="0" w:line="240" w:lineRule="auto"/>
        <w:ind w:left="0" w:firstLine="0"/>
        <w:rPr>
          <w:rFonts w:ascii="Century Gothic" w:hAnsi="Century Gothic"/>
          <w:color w:val="000000" w:themeColor="text1"/>
        </w:rPr>
      </w:pPr>
    </w:p>
    <w:p w:rsidR="00233A96" w:rsidRPr="003556C1" w:rsidRDefault="001C04B4" w:rsidP="003556C1">
      <w:pPr>
        <w:numPr>
          <w:ilvl w:val="1"/>
          <w:numId w:val="1"/>
        </w:numPr>
        <w:spacing w:before="0" w:after="0" w:line="240" w:lineRule="auto"/>
        <w:ind w:left="141" w:firstLine="425"/>
        <w:rPr>
          <w:rFonts w:ascii="Century Gothic" w:hAnsi="Century Gothic"/>
          <w:color w:val="000000" w:themeColor="text1"/>
        </w:rPr>
      </w:pPr>
      <w:r w:rsidRPr="003556C1">
        <w:rPr>
          <w:rFonts w:ascii="Century Gothic" w:hAnsi="Century Gothic"/>
          <w:color w:val="000000" w:themeColor="text1"/>
        </w:rPr>
        <w:t>Se a Contratante não efetuar o pagamento no prazo, os valores serão monetariamente atualizados nos termos da Lei Municipal nº 4.684/06, com compensação financeira de multa de 1% e juros conforme art. 1º-F da Lei nº 9.494/97.</w:t>
      </w:r>
    </w:p>
    <w:p w:rsidR="00233A96" w:rsidRDefault="001C04B4" w:rsidP="003556C1">
      <w:pPr>
        <w:numPr>
          <w:ilvl w:val="1"/>
          <w:numId w:val="1"/>
        </w:numPr>
        <w:spacing w:before="0" w:after="0" w:line="240" w:lineRule="auto"/>
        <w:ind w:left="141" w:firstLine="425"/>
        <w:rPr>
          <w:rFonts w:ascii="Century Gothic" w:hAnsi="Century Gothic"/>
          <w:color w:val="000000" w:themeColor="text1"/>
        </w:rPr>
      </w:pPr>
      <w:r w:rsidRPr="003556C1">
        <w:rPr>
          <w:rFonts w:ascii="Century Gothic" w:hAnsi="Century Gothic"/>
          <w:color w:val="000000" w:themeColor="text1"/>
        </w:rPr>
        <w:lastRenderedPageBreak/>
        <w:t>As notas fiscais deverão observar a Instrução Normativa nº 062/2022/CGM/SEFAZ do Município de Itajaí.</w:t>
      </w:r>
    </w:p>
    <w:p w:rsidR="003556C1" w:rsidRPr="003556C1" w:rsidRDefault="003556C1" w:rsidP="003556C1">
      <w:pPr>
        <w:spacing w:before="0" w:after="0" w:line="240" w:lineRule="auto"/>
        <w:ind w:left="566" w:firstLine="0"/>
        <w:rPr>
          <w:rFonts w:ascii="Century Gothic" w:hAnsi="Century Gothic"/>
          <w:color w:val="000000" w:themeColor="text1"/>
        </w:rPr>
      </w:pPr>
    </w:p>
    <w:p w:rsidR="00233A96" w:rsidRPr="003556C1" w:rsidRDefault="001C04B4" w:rsidP="003556C1">
      <w:pPr>
        <w:pStyle w:val="Ttulo1"/>
        <w:keepNext w:val="0"/>
        <w:keepLines w:val="0"/>
        <w:numPr>
          <w:ilvl w:val="0"/>
          <w:numId w:val="1"/>
        </w:numPr>
        <w:spacing w:before="0" w:after="0" w:line="240" w:lineRule="auto"/>
        <w:ind w:left="141" w:firstLine="425"/>
        <w:jc w:val="left"/>
        <w:rPr>
          <w:rFonts w:ascii="Century Gothic" w:hAnsi="Century Gothic"/>
          <w:b/>
          <w:bCs/>
          <w:color w:val="000000" w:themeColor="text1"/>
          <w:sz w:val="24"/>
          <w:szCs w:val="24"/>
        </w:rPr>
      </w:pPr>
      <w:r w:rsidRPr="003556C1">
        <w:rPr>
          <w:rFonts w:ascii="Century Gothic" w:hAnsi="Century Gothic"/>
          <w:b/>
          <w:bCs/>
          <w:color w:val="000000" w:themeColor="text1"/>
          <w:sz w:val="24"/>
          <w:szCs w:val="24"/>
        </w:rPr>
        <w:t>DOS PREÇOS, REAJUSTES E REEQUILÍBRIO ECONÔMICO-FINANCEIRO</w:t>
      </w:r>
    </w:p>
    <w:p w:rsidR="003556C1" w:rsidRDefault="001C04B4" w:rsidP="003556C1">
      <w:pPr>
        <w:pStyle w:val="Ttulo1"/>
        <w:keepNext w:val="0"/>
        <w:keepLines w:val="0"/>
        <w:numPr>
          <w:ilvl w:val="1"/>
          <w:numId w:val="1"/>
        </w:numPr>
        <w:spacing w:before="0" w:after="0" w:line="240" w:lineRule="auto"/>
        <w:ind w:left="141" w:firstLine="425"/>
        <w:rPr>
          <w:rFonts w:ascii="Century Gothic" w:hAnsi="Century Gothic"/>
          <w:color w:val="000000" w:themeColor="text1"/>
          <w:sz w:val="24"/>
          <w:szCs w:val="24"/>
        </w:rPr>
      </w:pPr>
      <w:r w:rsidRPr="003556C1">
        <w:rPr>
          <w:rFonts w:ascii="Century Gothic" w:hAnsi="Century Gothic"/>
          <w:color w:val="000000" w:themeColor="text1"/>
          <w:sz w:val="24"/>
          <w:szCs w:val="24"/>
        </w:rPr>
        <w:t>Os preços serão reajustados após 12 (doze) meses, contados da data-base da proposta, pela variação do IPCA/IBGE, vedada periodicidade inferior, formalizado por apostilamento nos termos da Lei nº 14.133/2021.</w:t>
      </w:r>
    </w:p>
    <w:p w:rsidR="003556C1" w:rsidRPr="003556C1" w:rsidRDefault="003556C1" w:rsidP="003556C1">
      <w:pPr>
        <w:rPr>
          <w:sz w:val="2"/>
        </w:rPr>
      </w:pP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color w:val="000000" w:themeColor="text1"/>
          <w:sz w:val="24"/>
          <w:szCs w:val="24"/>
        </w:rPr>
      </w:pPr>
      <w:r w:rsidRPr="003556C1">
        <w:rPr>
          <w:rFonts w:ascii="Century Gothic" w:hAnsi="Century Gothic"/>
          <w:color w:val="000000" w:themeColor="text1"/>
          <w:sz w:val="24"/>
          <w:szCs w:val="24"/>
        </w:rPr>
        <w:t>Eventuais pedidos de reequilíbrio econômico-financeiro observarão a Matriz de Riscos (Anexo IV), especialmente quanto: (a) às hipóteses admissíveis e vedadas; (b) aos gatilhos objetivos; (c) à documentação exigida; (d) ao teto per capita de referência; (e) aos limites legais de alteração contratual (art. 125 da Lei nº 14.133/2021); (f) à vedação à cumulatividade indevida de reequilíbrios fundados no mesmo fato gerador.</w:t>
      </w:r>
    </w:p>
    <w:p w:rsidR="003556C1" w:rsidRPr="003556C1" w:rsidRDefault="003556C1" w:rsidP="003556C1">
      <w:pPr>
        <w:rPr>
          <w:sz w:val="2"/>
        </w:rPr>
      </w:pP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color w:val="000000" w:themeColor="text1"/>
          <w:sz w:val="24"/>
          <w:szCs w:val="24"/>
        </w:rPr>
      </w:pPr>
      <w:r w:rsidRPr="003556C1">
        <w:rPr>
          <w:rFonts w:ascii="Century Gothic" w:hAnsi="Century Gothic"/>
          <w:color w:val="000000" w:themeColor="text1"/>
          <w:sz w:val="24"/>
          <w:szCs w:val="24"/>
        </w:rPr>
        <w:t>O pedido de reequilíbrio deverá estar instruído com pleito formal, memória de cálculo, documentação comprobatória do fato gerador, demonstração do impacto material e do nexo causal, nos termos das Instruções Normativas 58/2022 e 68/2023/CGM/SEGOV do Município de Itajaí.</w:t>
      </w:r>
    </w:p>
    <w:p w:rsidR="003556C1" w:rsidRPr="003556C1" w:rsidRDefault="003556C1" w:rsidP="003556C1">
      <w:pPr>
        <w:rPr>
          <w:sz w:val="2"/>
        </w:rPr>
      </w:pPr>
    </w:p>
    <w:p w:rsidR="00233A96" w:rsidRPr="003556C1" w:rsidRDefault="001C04B4" w:rsidP="003556C1">
      <w:pPr>
        <w:pStyle w:val="Ttulo1"/>
        <w:keepNext w:val="0"/>
        <w:keepLines w:val="0"/>
        <w:numPr>
          <w:ilvl w:val="0"/>
          <w:numId w:val="1"/>
        </w:numPr>
        <w:spacing w:before="0" w:after="0" w:line="240" w:lineRule="auto"/>
        <w:ind w:left="141" w:firstLine="425"/>
        <w:rPr>
          <w:rFonts w:ascii="Century Gothic" w:hAnsi="Century Gothic"/>
          <w:b/>
          <w:bCs/>
          <w:color w:val="000000" w:themeColor="text1"/>
          <w:sz w:val="24"/>
          <w:szCs w:val="24"/>
        </w:rPr>
      </w:pPr>
      <w:r w:rsidRPr="003556C1">
        <w:rPr>
          <w:rFonts w:ascii="Century Gothic" w:hAnsi="Century Gothic"/>
          <w:b/>
          <w:bCs/>
          <w:color w:val="000000" w:themeColor="text1"/>
          <w:sz w:val="24"/>
          <w:szCs w:val="24"/>
        </w:rPr>
        <w:t>DOS RECURSOS ORÇAMENTÁRIOS</w:t>
      </w: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color w:val="000000" w:themeColor="text1"/>
          <w:sz w:val="24"/>
          <w:szCs w:val="24"/>
        </w:rPr>
      </w:pPr>
      <w:r w:rsidRPr="003556C1">
        <w:rPr>
          <w:rFonts w:ascii="Century Gothic" w:hAnsi="Century Gothic"/>
          <w:color w:val="000000" w:themeColor="text1"/>
          <w:sz w:val="24"/>
          <w:szCs w:val="24"/>
        </w:rPr>
        <w:t>As despesas decorrentes da contratação correrão à conta de dotações orçamentárias da Secretaria Municipal de Turismo e Eventos — SETUR, observada a classificação orçamentária quanto à Unidade Orçamentária, Função, Programa, Ação e Natureza da Despesa.</w:t>
      </w:r>
    </w:p>
    <w:p w:rsidR="003556C1" w:rsidRPr="003556C1" w:rsidRDefault="003556C1" w:rsidP="003556C1">
      <w:pPr>
        <w:rPr>
          <w:sz w:val="2"/>
        </w:rPr>
      </w:pPr>
    </w:p>
    <w:p w:rsidR="00233A96" w:rsidRDefault="00675215" w:rsidP="003556C1">
      <w:pPr>
        <w:pStyle w:val="Ttulo1"/>
        <w:keepNext w:val="0"/>
        <w:keepLines w:val="0"/>
        <w:numPr>
          <w:ilvl w:val="1"/>
          <w:numId w:val="1"/>
        </w:numPr>
        <w:spacing w:before="0" w:after="0" w:line="240" w:lineRule="auto"/>
        <w:ind w:left="141" w:firstLine="425"/>
        <w:rPr>
          <w:rFonts w:ascii="Century Gothic" w:hAnsi="Century Gothic"/>
          <w:color w:val="000000" w:themeColor="text1"/>
          <w:sz w:val="24"/>
          <w:szCs w:val="24"/>
        </w:rPr>
      </w:pPr>
      <w:r w:rsidRPr="003556C1">
        <w:rPr>
          <w:rFonts w:ascii="Century Gothic" w:hAnsi="Century Gothic"/>
          <w:color w:val="000000" w:themeColor="text1"/>
          <w:sz w:val="24"/>
          <w:szCs w:val="24"/>
        </w:rPr>
        <w:t xml:space="preserve">Despesas: 461, 462, 465 e 1113 – FUMTUR. </w:t>
      </w:r>
    </w:p>
    <w:p w:rsidR="003556C1" w:rsidRPr="003556C1" w:rsidRDefault="003556C1" w:rsidP="003556C1">
      <w:pPr>
        <w:rPr>
          <w:sz w:val="2"/>
        </w:rPr>
      </w:pPr>
    </w:p>
    <w:p w:rsidR="00233A96" w:rsidRDefault="001C04B4" w:rsidP="003556C1">
      <w:pPr>
        <w:numPr>
          <w:ilvl w:val="1"/>
          <w:numId w:val="1"/>
        </w:numPr>
        <w:spacing w:before="0" w:after="0" w:line="240" w:lineRule="auto"/>
        <w:ind w:left="141" w:firstLine="425"/>
        <w:rPr>
          <w:rFonts w:ascii="Century Gothic" w:hAnsi="Century Gothic"/>
          <w:color w:val="000000" w:themeColor="text1"/>
        </w:rPr>
      </w:pPr>
      <w:r w:rsidRPr="003556C1">
        <w:rPr>
          <w:rFonts w:ascii="Century Gothic" w:hAnsi="Century Gothic"/>
          <w:color w:val="000000" w:themeColor="text1"/>
        </w:rPr>
        <w:t>As dotações relativas a exercícios subsequentes serão objeto de previsão nas respectivas leis orçamentárias anuais, nos termos da legislação aplicável.</w:t>
      </w:r>
    </w:p>
    <w:p w:rsidR="003556C1" w:rsidRPr="003556C1" w:rsidRDefault="003556C1" w:rsidP="003556C1">
      <w:pPr>
        <w:spacing w:before="0" w:after="0" w:line="240" w:lineRule="auto"/>
        <w:ind w:left="0" w:firstLine="0"/>
        <w:rPr>
          <w:rFonts w:ascii="Century Gothic" w:hAnsi="Century Gothic"/>
          <w:color w:val="000000" w:themeColor="text1"/>
        </w:rPr>
      </w:pPr>
    </w:p>
    <w:p w:rsidR="00233A96" w:rsidRPr="003556C1" w:rsidRDefault="001C04B4" w:rsidP="003556C1">
      <w:pPr>
        <w:pStyle w:val="Ttulo1"/>
        <w:keepNext w:val="0"/>
        <w:keepLines w:val="0"/>
        <w:numPr>
          <w:ilvl w:val="0"/>
          <w:numId w:val="1"/>
        </w:numPr>
        <w:spacing w:before="0" w:after="0" w:line="240" w:lineRule="auto"/>
        <w:ind w:left="141" w:firstLine="425"/>
        <w:rPr>
          <w:rFonts w:ascii="Century Gothic" w:hAnsi="Century Gothic"/>
          <w:b/>
          <w:bCs/>
          <w:color w:val="000000" w:themeColor="text1"/>
          <w:sz w:val="24"/>
          <w:szCs w:val="24"/>
        </w:rPr>
      </w:pPr>
      <w:r w:rsidRPr="003556C1">
        <w:rPr>
          <w:rFonts w:ascii="Century Gothic" w:hAnsi="Century Gothic"/>
          <w:b/>
          <w:bCs/>
          <w:color w:val="000000" w:themeColor="text1"/>
          <w:sz w:val="24"/>
          <w:szCs w:val="24"/>
        </w:rPr>
        <w:t>DO CONTRATO</w:t>
      </w:r>
    </w:p>
    <w:p w:rsidR="003556C1" w:rsidRDefault="001C04B4" w:rsidP="003556C1">
      <w:pPr>
        <w:pStyle w:val="Ttulo1"/>
        <w:keepNext w:val="0"/>
        <w:keepLines w:val="0"/>
        <w:numPr>
          <w:ilvl w:val="1"/>
          <w:numId w:val="1"/>
        </w:numPr>
        <w:spacing w:before="0" w:after="0" w:line="240" w:lineRule="auto"/>
        <w:ind w:left="141" w:firstLine="425"/>
        <w:rPr>
          <w:rFonts w:ascii="Century Gothic" w:hAnsi="Century Gothic"/>
          <w:color w:val="000000" w:themeColor="text1"/>
          <w:sz w:val="24"/>
          <w:szCs w:val="24"/>
        </w:rPr>
      </w:pPr>
      <w:r w:rsidRPr="003556C1">
        <w:rPr>
          <w:rFonts w:ascii="Century Gothic" w:hAnsi="Century Gothic"/>
          <w:color w:val="000000" w:themeColor="text1"/>
          <w:sz w:val="24"/>
          <w:szCs w:val="24"/>
        </w:rPr>
        <w:t>Após a homologação, a licitante vencedora será convocada para assinar o contrato no prazo de até 5 (cinco) dias úteis, sob pena de aplicação das penalidades previstas neste Edital e convocação dos remanescentes.</w:t>
      </w:r>
    </w:p>
    <w:p w:rsidR="003556C1" w:rsidRPr="003556C1" w:rsidRDefault="003556C1" w:rsidP="003556C1">
      <w:pPr>
        <w:rPr>
          <w:sz w:val="2"/>
        </w:rPr>
      </w:pP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color w:val="000000" w:themeColor="text1"/>
          <w:sz w:val="24"/>
          <w:szCs w:val="24"/>
        </w:rPr>
      </w:pPr>
      <w:r w:rsidRPr="003556C1">
        <w:rPr>
          <w:rFonts w:ascii="Century Gothic" w:hAnsi="Century Gothic"/>
          <w:color w:val="000000" w:themeColor="text1"/>
          <w:sz w:val="24"/>
          <w:szCs w:val="24"/>
        </w:rPr>
        <w:t xml:space="preserve">O prazo de vigência do contrato será de até 18 (dezoito) meses, contados da assinatura, vinculado à conclusão do escopo previamente definido, abrangendo a pré-produção, a execução, o pós-evento, a </w:t>
      </w:r>
      <w:r w:rsidRPr="003556C1">
        <w:rPr>
          <w:rFonts w:ascii="Century Gothic" w:hAnsi="Century Gothic"/>
          <w:color w:val="000000" w:themeColor="text1"/>
          <w:sz w:val="24"/>
          <w:szCs w:val="24"/>
        </w:rPr>
        <w:lastRenderedPageBreak/>
        <w:t>aferição, a medição, a prestação de contas e a liquidação das parcelas relativas aos quatro eventos do ciclo 2026/2027.</w:t>
      </w:r>
    </w:p>
    <w:p w:rsidR="003556C1" w:rsidRPr="003556C1" w:rsidRDefault="003556C1" w:rsidP="003556C1">
      <w:pPr>
        <w:rPr>
          <w:sz w:val="2"/>
        </w:rPr>
      </w:pP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color w:val="000000" w:themeColor="text1"/>
          <w:sz w:val="24"/>
          <w:szCs w:val="24"/>
        </w:rPr>
      </w:pPr>
      <w:r w:rsidRPr="003556C1">
        <w:rPr>
          <w:rFonts w:ascii="Century Gothic" w:hAnsi="Century Gothic"/>
          <w:color w:val="000000" w:themeColor="text1"/>
          <w:sz w:val="24"/>
          <w:szCs w:val="24"/>
        </w:rPr>
        <w:t>O objeto refere-se a eventos específicos e determinados do ciclo 2026/2027 e não constitui serviço de natureza continuada, limitando-se a vigência ao período estritamente necessário à conclusão do escopo, conforme demonstrado no Estudo Técnico Preliminar. Aplica-se o art. 111 da Lei nº 14.133/2021 para a conclusão do escopo já contratado, vedada a prorrogação para inclusão de novos eventos ou renovação do objeto.</w:t>
      </w:r>
    </w:p>
    <w:p w:rsidR="003556C1" w:rsidRPr="003556C1" w:rsidRDefault="003556C1" w:rsidP="003556C1">
      <w:pPr>
        <w:rPr>
          <w:sz w:val="2"/>
        </w:rPr>
      </w:pPr>
    </w:p>
    <w:p w:rsidR="00233A96"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A fixação da vigência pelo prazo necessário à conclusão do escopo justifica-se pela previsibilidade do calendário, pela otimização do planejamento integrado dos quatro eventos do ciclo 2026/2027 e pela racionalização das contratações, sem caracterizar serviço de natureza continuada, conforme demonstrado no Estudo Técnico Preliminar (Anexo II).</w:t>
      </w:r>
    </w:p>
    <w:p w:rsidR="003556C1" w:rsidRPr="003556C1" w:rsidRDefault="003556C1" w:rsidP="003556C1">
      <w:pPr>
        <w:spacing w:before="0" w:after="0" w:line="240" w:lineRule="auto"/>
        <w:ind w:left="0" w:firstLine="0"/>
        <w:rPr>
          <w:rFonts w:ascii="Century Gothic" w:hAnsi="Century Gothic"/>
        </w:rPr>
      </w:pPr>
    </w:p>
    <w:p w:rsidR="00233A96"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 xml:space="preserve">O contrato será formalizado mediante assinatura eletrônica, por certificado digital ICP-Brasil ou via assinador </w:t>
      </w:r>
      <w:hyperlink r:id="rId12">
        <w:r w:rsidRPr="003556C1">
          <w:rPr>
            <w:rFonts w:ascii="Century Gothic" w:hAnsi="Century Gothic"/>
            <w:color w:val="1155CC"/>
            <w:u w:val="single"/>
          </w:rPr>
          <w:t>gov.br</w:t>
        </w:r>
      </w:hyperlink>
      <w:r w:rsidRPr="003556C1">
        <w:rPr>
          <w:rFonts w:ascii="Century Gothic" w:hAnsi="Century Gothic"/>
        </w:rPr>
        <w:t>.</w:t>
      </w:r>
    </w:p>
    <w:p w:rsidR="003556C1" w:rsidRPr="003556C1" w:rsidRDefault="003556C1" w:rsidP="003556C1">
      <w:pPr>
        <w:spacing w:before="0" w:after="0" w:line="240" w:lineRule="auto"/>
        <w:ind w:left="0" w:firstLine="0"/>
        <w:rPr>
          <w:rFonts w:ascii="Century Gothic" w:hAnsi="Century Gothic"/>
        </w:rPr>
      </w:pPr>
    </w:p>
    <w:p w:rsidR="00233A96"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A recusa injustificada em assinar o contrato permitirá a convocação dos licitantes remanescentes na ordem de classificação, nos termos do art. 90, §2º, da Lei nº 14.133/2021, sem prejuízo das penalidades legais e da instauração de procedimento administrativo sancionador.</w:t>
      </w:r>
    </w:p>
    <w:p w:rsidR="003556C1" w:rsidRPr="003556C1" w:rsidRDefault="003556C1" w:rsidP="003556C1">
      <w:pPr>
        <w:spacing w:before="0" w:after="0" w:line="240" w:lineRule="auto"/>
        <w:ind w:left="0" w:firstLine="0"/>
        <w:rPr>
          <w:rFonts w:ascii="Century Gothic" w:hAnsi="Century Gothic"/>
        </w:rPr>
      </w:pPr>
    </w:p>
    <w:p w:rsidR="00233A96"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A Contratada deverá manter, durante toda a vigência, as condições de habilitação exigidas neste Edital, sob pena de rescisão.</w:t>
      </w:r>
    </w:p>
    <w:p w:rsidR="003556C1" w:rsidRPr="003556C1" w:rsidRDefault="003556C1" w:rsidP="003556C1">
      <w:pPr>
        <w:spacing w:before="0" w:after="0" w:line="240" w:lineRule="auto"/>
        <w:ind w:left="0" w:firstLine="0"/>
        <w:rPr>
          <w:rFonts w:ascii="Century Gothic" w:hAnsi="Century Gothic"/>
        </w:rPr>
      </w:pPr>
    </w:p>
    <w:p w:rsidR="00233A96" w:rsidRPr="003556C1" w:rsidRDefault="001C04B4" w:rsidP="003556C1">
      <w:pPr>
        <w:numPr>
          <w:ilvl w:val="1"/>
          <w:numId w:val="1"/>
        </w:numPr>
        <w:spacing w:before="0" w:after="0" w:line="240" w:lineRule="auto"/>
        <w:ind w:left="141" w:firstLine="425"/>
        <w:rPr>
          <w:rFonts w:ascii="Century Gothic" w:hAnsi="Century Gothic"/>
        </w:rPr>
      </w:pPr>
      <w:r w:rsidRPr="003556C1">
        <w:rPr>
          <w:rFonts w:ascii="Century Gothic" w:hAnsi="Century Gothic"/>
        </w:rPr>
        <w:t xml:space="preserve">Integram o contrato, como </w:t>
      </w:r>
      <w:r w:rsidRPr="003556C1">
        <w:rPr>
          <w:rFonts w:ascii="Century Gothic" w:hAnsi="Century Gothic"/>
          <w:b/>
          <w:bCs/>
        </w:rPr>
        <w:t>partes indissociáveis</w:t>
      </w:r>
      <w:r w:rsidRPr="003556C1">
        <w:rPr>
          <w:rFonts w:ascii="Century Gothic" w:hAnsi="Century Gothic"/>
        </w:rPr>
        <w:t>:</w:t>
      </w:r>
    </w:p>
    <w:p w:rsidR="00233A96" w:rsidRPr="003556C1" w:rsidRDefault="001C04B4" w:rsidP="003556C1">
      <w:pPr>
        <w:numPr>
          <w:ilvl w:val="2"/>
          <w:numId w:val="1"/>
        </w:numPr>
        <w:spacing w:before="0" w:after="0" w:line="240" w:lineRule="auto"/>
        <w:ind w:left="141" w:firstLine="425"/>
        <w:rPr>
          <w:rFonts w:ascii="Century Gothic" w:hAnsi="Century Gothic"/>
        </w:rPr>
      </w:pPr>
      <w:r w:rsidRPr="003556C1">
        <w:rPr>
          <w:rFonts w:ascii="Century Gothic" w:hAnsi="Century Gothic"/>
        </w:rPr>
        <w:t>o presente Edital e seus Anexos;</w:t>
      </w:r>
    </w:p>
    <w:p w:rsidR="00233A96" w:rsidRPr="003556C1" w:rsidRDefault="001C04B4" w:rsidP="003556C1">
      <w:pPr>
        <w:numPr>
          <w:ilvl w:val="2"/>
          <w:numId w:val="1"/>
        </w:numPr>
        <w:spacing w:before="0" w:after="0" w:line="240" w:lineRule="auto"/>
        <w:ind w:left="141" w:firstLine="425"/>
        <w:rPr>
          <w:rFonts w:ascii="Century Gothic" w:hAnsi="Century Gothic"/>
        </w:rPr>
      </w:pPr>
      <w:r w:rsidRPr="003556C1">
        <w:rPr>
          <w:rFonts w:ascii="Century Gothic" w:hAnsi="Century Gothic"/>
        </w:rPr>
        <w:t>o Termo de Referência (Anexo I);</w:t>
      </w:r>
    </w:p>
    <w:p w:rsidR="00233A96" w:rsidRPr="003556C1" w:rsidRDefault="001C04B4" w:rsidP="003556C1">
      <w:pPr>
        <w:numPr>
          <w:ilvl w:val="2"/>
          <w:numId w:val="1"/>
        </w:numPr>
        <w:spacing w:before="0" w:after="0" w:line="240" w:lineRule="auto"/>
        <w:ind w:left="141" w:firstLine="425"/>
        <w:rPr>
          <w:rFonts w:ascii="Century Gothic" w:hAnsi="Century Gothic"/>
        </w:rPr>
      </w:pPr>
      <w:r w:rsidRPr="003556C1">
        <w:rPr>
          <w:rFonts w:ascii="Century Gothic" w:hAnsi="Century Gothic"/>
        </w:rPr>
        <w:t>o Estudo Técnico Preliminar (Anexo II);</w:t>
      </w:r>
    </w:p>
    <w:p w:rsidR="00233A96" w:rsidRPr="003556C1" w:rsidRDefault="001C04B4" w:rsidP="003556C1">
      <w:pPr>
        <w:numPr>
          <w:ilvl w:val="2"/>
          <w:numId w:val="1"/>
        </w:numPr>
        <w:spacing w:before="0" w:after="0" w:line="240" w:lineRule="auto"/>
        <w:ind w:left="141" w:firstLine="425"/>
        <w:rPr>
          <w:rFonts w:ascii="Century Gothic" w:hAnsi="Century Gothic"/>
        </w:rPr>
      </w:pPr>
      <w:r w:rsidRPr="003556C1">
        <w:rPr>
          <w:rFonts w:ascii="Century Gothic" w:hAnsi="Century Gothic"/>
        </w:rPr>
        <w:t>a Matriz de Critérios de Avaliação (Anexo III);</w:t>
      </w:r>
    </w:p>
    <w:p w:rsidR="00233A96" w:rsidRPr="003556C1" w:rsidRDefault="001C04B4" w:rsidP="003556C1">
      <w:pPr>
        <w:numPr>
          <w:ilvl w:val="2"/>
          <w:numId w:val="1"/>
        </w:numPr>
        <w:spacing w:before="0" w:after="0" w:line="240" w:lineRule="auto"/>
        <w:ind w:left="141" w:firstLine="425"/>
        <w:rPr>
          <w:rFonts w:ascii="Century Gothic" w:hAnsi="Century Gothic"/>
        </w:rPr>
      </w:pPr>
      <w:r w:rsidRPr="003556C1">
        <w:rPr>
          <w:rFonts w:ascii="Century Gothic" w:hAnsi="Century Gothic"/>
        </w:rPr>
        <w:t>a Matriz de Riscos (Anexo IV);</w:t>
      </w:r>
    </w:p>
    <w:p w:rsidR="00233A96" w:rsidRPr="003556C1" w:rsidRDefault="001C04B4" w:rsidP="003556C1">
      <w:pPr>
        <w:numPr>
          <w:ilvl w:val="2"/>
          <w:numId w:val="1"/>
        </w:numPr>
        <w:spacing w:before="0" w:after="0" w:line="240" w:lineRule="auto"/>
        <w:ind w:left="141" w:firstLine="425"/>
        <w:rPr>
          <w:rFonts w:ascii="Century Gothic" w:hAnsi="Century Gothic"/>
        </w:rPr>
      </w:pPr>
      <w:r w:rsidRPr="003556C1">
        <w:rPr>
          <w:rFonts w:ascii="Century Gothic" w:hAnsi="Century Gothic"/>
        </w:rPr>
        <w:t>os Indicadores de Desempenho — KPIs (Anexo V);</w:t>
      </w:r>
    </w:p>
    <w:p w:rsidR="00233A96" w:rsidRPr="003556C1" w:rsidRDefault="001C04B4" w:rsidP="003556C1">
      <w:pPr>
        <w:numPr>
          <w:ilvl w:val="2"/>
          <w:numId w:val="1"/>
        </w:numPr>
        <w:spacing w:before="0" w:after="0" w:line="240" w:lineRule="auto"/>
        <w:ind w:left="141" w:firstLine="425"/>
        <w:rPr>
          <w:rFonts w:ascii="Century Gothic" w:hAnsi="Century Gothic"/>
        </w:rPr>
      </w:pPr>
      <w:r w:rsidRPr="003556C1">
        <w:rPr>
          <w:rFonts w:ascii="Century Gothic" w:hAnsi="Century Gothic"/>
        </w:rPr>
        <w:t>o Protocolo Operacional Padrão de Aferição de Público (Anexo VI);</w:t>
      </w:r>
    </w:p>
    <w:p w:rsidR="00233A96" w:rsidRPr="003556C1" w:rsidRDefault="001C04B4" w:rsidP="003556C1">
      <w:pPr>
        <w:numPr>
          <w:ilvl w:val="2"/>
          <w:numId w:val="1"/>
        </w:numPr>
        <w:spacing w:before="0" w:after="0" w:line="240" w:lineRule="auto"/>
        <w:ind w:left="141" w:firstLine="425"/>
        <w:rPr>
          <w:rFonts w:ascii="Century Gothic" w:hAnsi="Century Gothic"/>
        </w:rPr>
      </w:pPr>
      <w:r w:rsidRPr="003556C1">
        <w:rPr>
          <w:rFonts w:ascii="Century Gothic" w:hAnsi="Century Gothic"/>
        </w:rPr>
        <w:t>a Proposta Técnica vencedora;</w:t>
      </w:r>
    </w:p>
    <w:p w:rsidR="00233A96" w:rsidRDefault="001C04B4" w:rsidP="003556C1">
      <w:pPr>
        <w:numPr>
          <w:ilvl w:val="2"/>
          <w:numId w:val="1"/>
        </w:numPr>
        <w:spacing w:before="0" w:after="0" w:line="240" w:lineRule="auto"/>
        <w:ind w:left="141" w:firstLine="425"/>
        <w:rPr>
          <w:rFonts w:ascii="Century Gothic" w:hAnsi="Century Gothic"/>
        </w:rPr>
      </w:pPr>
      <w:r w:rsidRPr="003556C1">
        <w:rPr>
          <w:rFonts w:ascii="Century Gothic" w:hAnsi="Century Gothic"/>
        </w:rPr>
        <w:t>A Proposta de Preços vencedora.</w:t>
      </w:r>
    </w:p>
    <w:p w:rsidR="003556C1" w:rsidRPr="003556C1" w:rsidRDefault="003556C1" w:rsidP="003556C1">
      <w:pPr>
        <w:spacing w:before="0" w:after="0" w:line="240" w:lineRule="auto"/>
        <w:ind w:left="566" w:firstLine="0"/>
        <w:rPr>
          <w:rFonts w:ascii="Century Gothic" w:hAnsi="Century Gothic"/>
        </w:rPr>
      </w:pPr>
    </w:p>
    <w:p w:rsidR="00233A96" w:rsidRPr="003556C1" w:rsidRDefault="001C04B4" w:rsidP="003556C1">
      <w:pPr>
        <w:pStyle w:val="Ttulo1"/>
        <w:keepNext w:val="0"/>
        <w:keepLines w:val="0"/>
        <w:numPr>
          <w:ilvl w:val="0"/>
          <w:numId w:val="1"/>
        </w:numPr>
        <w:spacing w:before="0" w:after="0" w:line="240" w:lineRule="auto"/>
        <w:ind w:left="141" w:firstLine="425"/>
        <w:rPr>
          <w:rFonts w:ascii="Century Gothic" w:hAnsi="Century Gothic"/>
          <w:b/>
          <w:bCs/>
          <w:sz w:val="24"/>
          <w:szCs w:val="24"/>
        </w:rPr>
      </w:pPr>
      <w:r w:rsidRPr="003556C1">
        <w:rPr>
          <w:rFonts w:ascii="Century Gothic" w:hAnsi="Century Gothic"/>
          <w:b/>
          <w:bCs/>
          <w:sz w:val="24"/>
          <w:szCs w:val="24"/>
        </w:rPr>
        <w:t>DA GESTÃO E DA FISCALIZAÇÃO CONTRATUAL</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 execução do contrato será acompanhada por Gestor do Contrato e Fiscal Técnico designados pela SETUR, nos termos do art. 117 da Lei nº 14.133/2021.</w:t>
      </w: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lastRenderedPageBreak/>
        <w:t>A SETUR designará Fiscal Técnico específico para cada evento, responsável pelo acompanhamento das fases de pré-produção, montagem, operação, desmontagem e pós-evento.</w:t>
      </w:r>
    </w:p>
    <w:p w:rsidR="003556C1" w:rsidRPr="003556C1" w:rsidRDefault="003556C1" w:rsidP="003556C1">
      <w:pPr>
        <w:ind w:left="0" w:firstLine="0"/>
        <w:rPr>
          <w:sz w:val="2"/>
        </w:rPr>
      </w:pP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Compete ao Fiscal Técnico, entre outras atribuições: (a) verificar o cumprimento dos KPIs; (b) registrar ocorrências; (c) analisar o dossiê de evidências; (d) elaborar o Relatório Técnico-Operacional Pós-Evento; (e) propor a nota de cada eixo de desempenho para fins de cálculo do FAD.</w:t>
      </w:r>
    </w:p>
    <w:p w:rsidR="003556C1" w:rsidRPr="003556C1" w:rsidRDefault="003556C1" w:rsidP="003556C1">
      <w:pPr>
        <w:rPr>
          <w:sz w:val="2"/>
        </w:rPr>
      </w:pP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O procedimento de aferição do FAD observará o fluxo previsto no Anexo V (KPIs), com prazo total de até 45 dias entre a apresentação do dossiê e a decisão final do Gestor do Contrato, assegurado o contraditório à Contratada.</w:t>
      </w: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 fiscalização não exclui nem reduz a responsabilidade da Contratada pela execução integral do objeto, nos termos do art. 121, §1º, da Lei nº 14.133/2021.</w:t>
      </w:r>
    </w:p>
    <w:p w:rsidR="003556C1" w:rsidRPr="003556C1" w:rsidRDefault="003556C1" w:rsidP="003556C1">
      <w:pPr>
        <w:rPr>
          <w:sz w:val="2"/>
        </w:rPr>
      </w:pPr>
    </w:p>
    <w:p w:rsidR="00233A96" w:rsidRPr="003556C1" w:rsidRDefault="001C04B4" w:rsidP="003556C1">
      <w:pPr>
        <w:pStyle w:val="Ttulo1"/>
        <w:keepNext w:val="0"/>
        <w:keepLines w:val="0"/>
        <w:numPr>
          <w:ilvl w:val="0"/>
          <w:numId w:val="1"/>
        </w:numPr>
        <w:spacing w:before="0" w:after="0" w:line="240" w:lineRule="auto"/>
        <w:ind w:left="141" w:firstLine="425"/>
        <w:rPr>
          <w:rFonts w:ascii="Century Gothic" w:hAnsi="Century Gothic"/>
          <w:b/>
          <w:bCs/>
          <w:sz w:val="24"/>
          <w:szCs w:val="24"/>
        </w:rPr>
      </w:pPr>
      <w:r w:rsidRPr="003556C1">
        <w:rPr>
          <w:rFonts w:ascii="Century Gothic" w:hAnsi="Century Gothic"/>
          <w:b/>
          <w:bCs/>
          <w:sz w:val="24"/>
          <w:szCs w:val="24"/>
        </w:rPr>
        <w:t>DA EXTINÇÃO CONTRATUAL</w:t>
      </w: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O contrato poderá ser extinto nas hipóteses previstas nos arts. 137 a 139 da Lei nº 14.133/2021, mediante ato formal e motivado da Contratante, assegurados o contraditório e a ampla defesa.</w:t>
      </w:r>
    </w:p>
    <w:p w:rsidR="003556C1" w:rsidRPr="003556C1" w:rsidRDefault="003556C1" w:rsidP="003556C1">
      <w:pPr>
        <w:rPr>
          <w:sz w:val="2"/>
        </w:rPr>
      </w:pP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Constituem motivos para extinção, entre outros: (a) inexecução total ou parcial; (b) atraso injustificado; (c) paralisação sem justa causa; (d) falência, dissolução ou insolvência; (e) razões de interesse público; (f) caso fortuito ou força maior; (g) aferição fraudulenta de público, nos termos da Matriz de Riscos (Anexo IV); (h) subcontratação irregular do núcleo estratégico; (i) FAD insatisfatório reiterado (abaixo de 0,70 em 2 ou mais eventos consecutivos).</w:t>
      </w:r>
    </w:p>
    <w:p w:rsidR="003556C1" w:rsidRPr="003556C1" w:rsidRDefault="003556C1" w:rsidP="003556C1">
      <w:pPr>
        <w:rPr>
          <w:sz w:val="2"/>
        </w:rPr>
      </w:pP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 extinção não prejudica a aplicação de sanções nem a responsabilização por prejuízos.</w:t>
      </w:r>
    </w:p>
    <w:p w:rsidR="003556C1" w:rsidRPr="003556C1" w:rsidRDefault="003556C1" w:rsidP="003556C1">
      <w:pPr>
        <w:rPr>
          <w:sz w:val="2"/>
        </w:rPr>
      </w:pP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O contrato poderá ser rescindido nos termos da Lei nº 12.846/2013 (Anticorrupção), conforme Decreto Municipal nº 11.063/17.</w:t>
      </w:r>
    </w:p>
    <w:p w:rsidR="003556C1" w:rsidRPr="003556C1" w:rsidRDefault="003556C1" w:rsidP="003556C1">
      <w:pPr>
        <w:rPr>
          <w:sz w:val="2"/>
        </w:rPr>
      </w:pPr>
    </w:p>
    <w:p w:rsidR="00233A96" w:rsidRPr="003556C1" w:rsidRDefault="001C04B4" w:rsidP="003556C1">
      <w:pPr>
        <w:pStyle w:val="Ttulo1"/>
        <w:keepNext w:val="0"/>
        <w:keepLines w:val="0"/>
        <w:numPr>
          <w:ilvl w:val="0"/>
          <w:numId w:val="1"/>
        </w:numPr>
        <w:spacing w:before="0" w:after="0" w:line="240" w:lineRule="auto"/>
        <w:ind w:left="141" w:firstLine="425"/>
        <w:rPr>
          <w:rFonts w:ascii="Century Gothic" w:hAnsi="Century Gothic"/>
          <w:b/>
          <w:bCs/>
          <w:sz w:val="24"/>
          <w:szCs w:val="24"/>
        </w:rPr>
      </w:pPr>
      <w:r w:rsidRPr="003556C1">
        <w:rPr>
          <w:rFonts w:ascii="Century Gothic" w:hAnsi="Century Gothic"/>
          <w:b/>
          <w:bCs/>
          <w:sz w:val="24"/>
          <w:szCs w:val="24"/>
        </w:rPr>
        <w:t>DAS OBRIGAÇÕES RELATIVAS À LGPD</w:t>
      </w: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 Contratada declara ciência da Lei nº 13.709/2018 (LGPD) e compromete-se a adequar todos os procedimentos internos à proteção dos dados pessoais que lhe forem repassados, observando os princípios de finalidade, adequação, necessidade e segurança.</w:t>
      </w: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lastRenderedPageBreak/>
        <w:t>A Contratada indenizará o Contratante por quaisquer danos, prejuízos, custos e despesas, inclusive honorários advocatícios e multas, decorrentes do descumprimento das obrigações de proteção de dados.</w:t>
      </w:r>
    </w:p>
    <w:p w:rsidR="003556C1" w:rsidRPr="003556C1" w:rsidRDefault="003556C1" w:rsidP="003556C1">
      <w:pPr>
        <w:rPr>
          <w:sz w:val="2"/>
        </w:rPr>
      </w:pP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Os dados de aferição de público, registros de atendimento de acessibilidade e listas nominais de trabalhadores deverão ser tratados com observância à LGPD, sendo vedada a divulgação de dados pessoais sensíveis, salvo anonimização ou autorização expressa.</w:t>
      </w:r>
    </w:p>
    <w:p w:rsidR="000C5135" w:rsidRPr="000C5135" w:rsidRDefault="000C5135" w:rsidP="000C5135">
      <w:pPr>
        <w:rPr>
          <w:sz w:val="2"/>
        </w:rPr>
      </w:pPr>
    </w:p>
    <w:p w:rsidR="00233A96" w:rsidRPr="003556C1" w:rsidRDefault="001C04B4" w:rsidP="003556C1">
      <w:pPr>
        <w:pStyle w:val="Ttulo1"/>
        <w:keepNext w:val="0"/>
        <w:keepLines w:val="0"/>
        <w:numPr>
          <w:ilvl w:val="0"/>
          <w:numId w:val="1"/>
        </w:numPr>
        <w:spacing w:before="0" w:after="0" w:line="240" w:lineRule="auto"/>
        <w:ind w:left="141" w:firstLine="425"/>
        <w:rPr>
          <w:rFonts w:ascii="Century Gothic" w:hAnsi="Century Gothic"/>
          <w:b/>
          <w:bCs/>
          <w:sz w:val="24"/>
          <w:szCs w:val="24"/>
        </w:rPr>
      </w:pPr>
      <w:r w:rsidRPr="003556C1">
        <w:rPr>
          <w:rFonts w:ascii="Century Gothic" w:hAnsi="Century Gothic"/>
          <w:b/>
          <w:bCs/>
          <w:sz w:val="24"/>
          <w:szCs w:val="24"/>
        </w:rPr>
        <w:t>DAS PRÁTICAS DE FRAUDE E CORRUPÇÃO</w:t>
      </w: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As partes declaram conhecimento das Leis nºs 8.429/1992 (Improbidade Administrativa) e 12.846/2013 (Anticorrupção) e comprometem-se a não adotar práticas enquadradas nessas normas.</w:t>
      </w:r>
    </w:p>
    <w:p w:rsidR="000C5135" w:rsidRPr="000C5135" w:rsidRDefault="000C5135" w:rsidP="000C5135">
      <w:pPr>
        <w:rPr>
          <w:sz w:val="2"/>
        </w:rPr>
      </w:pP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As partes comprometem-se a notificar a Controladoria-Geral do Município acerca de qualquer irregularidade de que tenham conhecimento na execução do contrato.</w:t>
      </w:r>
    </w:p>
    <w:p w:rsidR="000C5135" w:rsidRPr="000C5135" w:rsidRDefault="000C5135" w:rsidP="000C5135">
      <w:pPr>
        <w:rPr>
          <w:sz w:val="2"/>
        </w:rPr>
      </w:pP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 violação das obrigações anticorrupção é causa para rescisão unilateral do contrato, sem prejuízo da cobrança de perdas e danos e das penalidades legais.</w:t>
      </w:r>
    </w:p>
    <w:p w:rsidR="000C5135" w:rsidRPr="000C5135" w:rsidRDefault="000C5135" w:rsidP="000C5135">
      <w:pPr>
        <w:rPr>
          <w:sz w:val="2"/>
        </w:rPr>
      </w:pPr>
    </w:p>
    <w:p w:rsidR="00233A96" w:rsidRPr="003556C1" w:rsidRDefault="001C04B4" w:rsidP="003556C1">
      <w:pPr>
        <w:pStyle w:val="Ttulo1"/>
        <w:keepNext w:val="0"/>
        <w:keepLines w:val="0"/>
        <w:numPr>
          <w:ilvl w:val="0"/>
          <w:numId w:val="1"/>
        </w:numPr>
        <w:spacing w:before="0" w:after="0" w:line="240" w:lineRule="auto"/>
        <w:ind w:left="141" w:firstLine="425"/>
        <w:rPr>
          <w:rFonts w:ascii="Century Gothic" w:hAnsi="Century Gothic"/>
          <w:b/>
          <w:bCs/>
          <w:sz w:val="24"/>
          <w:szCs w:val="24"/>
        </w:rPr>
      </w:pPr>
      <w:r w:rsidRPr="003556C1">
        <w:rPr>
          <w:rFonts w:ascii="Century Gothic" w:hAnsi="Century Gothic"/>
          <w:b/>
          <w:bCs/>
          <w:sz w:val="24"/>
          <w:szCs w:val="24"/>
        </w:rPr>
        <w:t>DA PUBLICIDADE</w:t>
      </w: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Incumbirá ao Contratante divulgar o presente instrumento e o contrato no Portal Nacional de Contratações Públicas (PNCP), na forma do art. 94 da Lei nº 14.133/2021.</w:t>
      </w:r>
    </w:p>
    <w:p w:rsidR="000C5135" w:rsidRPr="000C5135" w:rsidRDefault="000C5135" w:rsidP="000C5135">
      <w:pPr>
        <w:rPr>
          <w:sz w:val="2"/>
        </w:rPr>
      </w:pP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Os relatórios de aferição do FAD e os resultados consolidados da execução contratual serão disponibilizados no Portal da Transparência do Município, observadas as regras da Lei nº 12.527/2011 (LAI) e da Lei nº 13.709/2018 (LGPD), nos termos do Anexo V (KPIs).</w:t>
      </w:r>
    </w:p>
    <w:p w:rsidR="00675215" w:rsidRPr="003556C1" w:rsidRDefault="00675215" w:rsidP="003556C1">
      <w:pPr>
        <w:spacing w:before="0" w:after="0" w:line="240" w:lineRule="auto"/>
        <w:rPr>
          <w:rFonts w:ascii="Century Gothic" w:hAnsi="Century Gothic"/>
        </w:rPr>
      </w:pPr>
    </w:p>
    <w:p w:rsidR="00233A96" w:rsidRPr="003556C1" w:rsidRDefault="001C04B4" w:rsidP="003556C1">
      <w:pPr>
        <w:pStyle w:val="Ttulo1"/>
        <w:keepNext w:val="0"/>
        <w:keepLines w:val="0"/>
        <w:numPr>
          <w:ilvl w:val="0"/>
          <w:numId w:val="1"/>
        </w:numPr>
        <w:spacing w:before="0" w:after="0" w:line="240" w:lineRule="auto"/>
        <w:ind w:left="141" w:firstLine="425"/>
        <w:rPr>
          <w:rFonts w:ascii="Century Gothic" w:hAnsi="Century Gothic"/>
          <w:b/>
          <w:bCs/>
          <w:sz w:val="24"/>
          <w:szCs w:val="24"/>
        </w:rPr>
      </w:pPr>
      <w:r w:rsidRPr="003556C1">
        <w:rPr>
          <w:rFonts w:ascii="Century Gothic" w:hAnsi="Century Gothic"/>
          <w:b/>
          <w:bCs/>
          <w:sz w:val="24"/>
          <w:szCs w:val="24"/>
        </w:rPr>
        <w:t>DAS DISPOSIÇÕES FINAIS</w:t>
      </w: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O Município reserva-se o direito de revogar a licitação, no todo ou em parte, por razões de interesse público decorrente de fato superveniente, ou anulá-la por ilegalidade, de ofício ou por provocação de terceiros, sem que disso caiba indenização aos licitantes, nos termos do art. 71 da Lei nº 14.133/2021.</w:t>
      </w:r>
    </w:p>
    <w:p w:rsidR="000C5135" w:rsidRPr="000C5135" w:rsidRDefault="000C5135" w:rsidP="000C5135">
      <w:pPr>
        <w:rPr>
          <w:sz w:val="2"/>
        </w:rPr>
      </w:pP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 Contratada será obrigada a substituir, às suas expensas, no total ou em parte, o objeto em que se verificarem vícios, defeitos ou incorreções.</w:t>
      </w: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lastRenderedPageBreak/>
        <w:t>A Contratada é responsável pelos danos causados à Administração ou a terceiros, inclusive pelos encargos trabalhistas, previdenciários, fiscais e comerciais resultantes da execução contratual, na forma da legislação vigente.</w:t>
      </w:r>
    </w:p>
    <w:p w:rsidR="000C5135" w:rsidRPr="000C5135" w:rsidRDefault="000C5135" w:rsidP="000C5135">
      <w:pPr>
        <w:rPr>
          <w:sz w:val="2"/>
        </w:rPr>
      </w:pP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 apresentação de proposta atesta que a licitante tomou conhecimento de todas as informações, condições e exigências para o cumprimento do objeto.</w:t>
      </w:r>
    </w:p>
    <w:p w:rsidR="000C5135" w:rsidRPr="000C5135" w:rsidRDefault="000C5135" w:rsidP="000C5135">
      <w:pPr>
        <w:rPr>
          <w:sz w:val="2"/>
        </w:rPr>
      </w:pP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Todos os atos da licitação serão publicados no Diário Oficial do Município de Itajaí, no PNCP e na plataforma BNC, servindo a publicação como notificação dos interessados.</w:t>
      </w:r>
    </w:p>
    <w:p w:rsidR="000C5135" w:rsidRPr="000C5135" w:rsidRDefault="000C5135" w:rsidP="000C5135">
      <w:pPr>
        <w:rPr>
          <w:sz w:val="2"/>
        </w:rPr>
      </w:pPr>
    </w:p>
    <w:p w:rsidR="00233A96"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Nos casos omissos, prevalecerão os termos da Lei nº 14.133/2021 e dos princípios gerais de direito público.</w:t>
      </w:r>
    </w:p>
    <w:p w:rsidR="000C5135" w:rsidRPr="000C5135" w:rsidRDefault="000C5135" w:rsidP="000C5135">
      <w:pPr>
        <w:rPr>
          <w:sz w:val="2"/>
        </w:rPr>
      </w:pPr>
    </w:p>
    <w:p w:rsidR="00233A96" w:rsidRPr="003556C1" w:rsidRDefault="001C04B4" w:rsidP="003556C1">
      <w:pPr>
        <w:pStyle w:val="Ttulo1"/>
        <w:keepNext w:val="0"/>
        <w:keepLines w:val="0"/>
        <w:numPr>
          <w:ilvl w:val="1"/>
          <w:numId w:val="1"/>
        </w:numPr>
        <w:spacing w:before="0" w:after="0" w:line="240" w:lineRule="auto"/>
        <w:ind w:left="141" w:firstLine="425"/>
        <w:rPr>
          <w:rFonts w:ascii="Century Gothic" w:hAnsi="Century Gothic"/>
          <w:sz w:val="24"/>
          <w:szCs w:val="24"/>
        </w:rPr>
      </w:pPr>
      <w:r w:rsidRPr="003556C1">
        <w:rPr>
          <w:rFonts w:ascii="Century Gothic" w:hAnsi="Century Gothic"/>
          <w:sz w:val="24"/>
          <w:szCs w:val="24"/>
        </w:rPr>
        <w:t>As partes elegem o foro da Comarca de Itajaí, Estado de Santa Catarina, com expressa renúncia a qualquer outro, por mais privilegiado que seja, para dirimir as controvérsias oriundas deste Edital e do contrato dele decorrente.</w:t>
      </w:r>
    </w:p>
    <w:p w:rsidR="00233A96" w:rsidRPr="003556C1" w:rsidRDefault="00233A96" w:rsidP="003556C1">
      <w:pPr>
        <w:spacing w:before="0" w:after="0" w:line="240" w:lineRule="auto"/>
        <w:ind w:left="141" w:firstLine="425"/>
        <w:rPr>
          <w:rFonts w:ascii="Century Gothic" w:hAnsi="Century Gothic"/>
        </w:rPr>
      </w:pPr>
    </w:p>
    <w:p w:rsidR="00233A96" w:rsidRPr="003556C1" w:rsidRDefault="00BC3E6E" w:rsidP="003556C1">
      <w:pPr>
        <w:spacing w:before="0" w:after="0" w:line="240" w:lineRule="auto"/>
        <w:ind w:left="141" w:firstLine="425"/>
        <w:jc w:val="center"/>
        <w:rPr>
          <w:rFonts w:ascii="Century Gothic" w:hAnsi="Century Gothic"/>
        </w:rPr>
      </w:pPr>
      <w:r>
        <w:rPr>
          <w:rFonts w:ascii="Century Gothic" w:hAnsi="Century Gothic"/>
          <w:b/>
          <w:bCs/>
        </w:rPr>
        <w:t>Itajaí/SC, 24</w:t>
      </w:r>
      <w:r w:rsidR="001C04B4" w:rsidRPr="003556C1">
        <w:rPr>
          <w:rFonts w:ascii="Century Gothic" w:hAnsi="Century Gothic"/>
          <w:b/>
          <w:bCs/>
        </w:rPr>
        <w:t xml:space="preserve"> de </w:t>
      </w:r>
      <w:r>
        <w:rPr>
          <w:rFonts w:ascii="Century Gothic" w:hAnsi="Century Gothic"/>
          <w:b/>
          <w:bCs/>
        </w:rPr>
        <w:t>junho</w:t>
      </w:r>
      <w:r w:rsidR="001C04B4" w:rsidRPr="003556C1">
        <w:rPr>
          <w:rFonts w:ascii="Century Gothic" w:hAnsi="Century Gothic"/>
          <w:b/>
          <w:bCs/>
        </w:rPr>
        <w:t xml:space="preserve"> de 2026</w:t>
      </w:r>
    </w:p>
    <w:p w:rsidR="00233A96" w:rsidRPr="003556C1" w:rsidRDefault="00233A96" w:rsidP="003556C1">
      <w:pPr>
        <w:spacing w:before="0" w:after="0" w:line="240" w:lineRule="auto"/>
        <w:ind w:left="141" w:firstLine="425"/>
        <w:jc w:val="center"/>
        <w:rPr>
          <w:rFonts w:ascii="Century Gothic" w:hAnsi="Century Gothic"/>
        </w:rPr>
      </w:pPr>
    </w:p>
    <w:p w:rsidR="00233A96" w:rsidRPr="003556C1" w:rsidRDefault="00233A96" w:rsidP="003556C1">
      <w:pPr>
        <w:spacing w:before="0" w:after="0" w:line="240" w:lineRule="auto"/>
        <w:ind w:left="0" w:firstLine="0"/>
        <w:jc w:val="left"/>
        <w:rPr>
          <w:rFonts w:ascii="Century Gothic" w:hAnsi="Century Gothic"/>
        </w:rPr>
      </w:pPr>
    </w:p>
    <w:p w:rsidR="00233A96" w:rsidRPr="003556C1" w:rsidRDefault="00675215" w:rsidP="003556C1">
      <w:pPr>
        <w:spacing w:before="0" w:after="0" w:line="240" w:lineRule="auto"/>
        <w:ind w:left="0" w:firstLine="0"/>
        <w:jc w:val="center"/>
        <w:rPr>
          <w:rFonts w:ascii="Century Gothic" w:hAnsi="Century Gothic"/>
          <w:b/>
        </w:rPr>
      </w:pPr>
      <w:r w:rsidRPr="003556C1">
        <w:rPr>
          <w:rFonts w:ascii="Century Gothic" w:hAnsi="Century Gothic"/>
          <w:b/>
        </w:rPr>
        <w:t>GABRIELA KELM DO NASCIMENTO</w:t>
      </w:r>
    </w:p>
    <w:p w:rsidR="00233A96" w:rsidRPr="003556C1" w:rsidRDefault="00675215" w:rsidP="003556C1">
      <w:pPr>
        <w:spacing w:before="0" w:after="0" w:line="240" w:lineRule="auto"/>
        <w:ind w:left="0" w:firstLine="0"/>
        <w:jc w:val="center"/>
        <w:rPr>
          <w:rFonts w:ascii="Century Gothic" w:hAnsi="Century Gothic"/>
        </w:rPr>
      </w:pPr>
      <w:r w:rsidRPr="003556C1">
        <w:rPr>
          <w:rFonts w:ascii="Century Gothic" w:hAnsi="Century Gothic"/>
          <w:b/>
        </w:rPr>
        <w:t>SECRETÁRIA DE TURISMO E EVENTOS</w:t>
      </w:r>
    </w:p>
    <w:p w:rsidR="00233A96" w:rsidRPr="003556C1" w:rsidRDefault="00233A96" w:rsidP="003556C1">
      <w:pPr>
        <w:spacing w:before="0" w:after="0" w:line="240" w:lineRule="auto"/>
        <w:ind w:left="0" w:firstLine="0"/>
        <w:jc w:val="center"/>
        <w:rPr>
          <w:rFonts w:ascii="Century Gothic" w:hAnsi="Century Gothic"/>
        </w:rPr>
      </w:pPr>
    </w:p>
    <w:p w:rsidR="00233A96" w:rsidRPr="003556C1" w:rsidRDefault="001C04B4" w:rsidP="003556C1">
      <w:pPr>
        <w:pStyle w:val="Ttulo1"/>
        <w:keepNext w:val="0"/>
        <w:keepLines w:val="0"/>
        <w:spacing w:before="0" w:after="0" w:line="240" w:lineRule="auto"/>
        <w:ind w:left="141" w:firstLine="425"/>
        <w:rPr>
          <w:rFonts w:ascii="Century Gothic" w:hAnsi="Century Gothic"/>
          <w:b/>
          <w:bCs/>
          <w:sz w:val="24"/>
          <w:szCs w:val="24"/>
        </w:rPr>
      </w:pPr>
      <w:r w:rsidRPr="003556C1">
        <w:rPr>
          <w:rFonts w:ascii="Century Gothic" w:hAnsi="Century Gothic"/>
          <w:b/>
          <w:bCs/>
          <w:sz w:val="24"/>
          <w:szCs w:val="24"/>
        </w:rPr>
        <w:t>RELAÇÃO DE ANEXOS</w:t>
      </w:r>
    </w:p>
    <w:p w:rsidR="00233A96" w:rsidRPr="003556C1" w:rsidRDefault="00233A96" w:rsidP="003556C1">
      <w:pPr>
        <w:spacing w:before="0" w:after="0" w:line="240" w:lineRule="auto"/>
        <w:ind w:left="141" w:firstLine="425"/>
        <w:rPr>
          <w:rFonts w:ascii="Century Gothic" w:hAnsi="Century Gothic"/>
        </w:rPr>
      </w:pPr>
    </w:p>
    <w:p w:rsidR="00233A96" w:rsidRPr="003556C1" w:rsidRDefault="001C04B4" w:rsidP="003556C1">
      <w:pPr>
        <w:spacing w:before="0" w:after="0" w:line="240" w:lineRule="auto"/>
        <w:ind w:left="141" w:firstLine="425"/>
        <w:rPr>
          <w:rFonts w:ascii="Century Gothic" w:hAnsi="Century Gothic"/>
        </w:rPr>
      </w:pPr>
      <w:r w:rsidRPr="003556C1">
        <w:rPr>
          <w:rFonts w:ascii="Century Gothic" w:hAnsi="Century Gothic"/>
          <w:b/>
          <w:bCs/>
        </w:rPr>
        <w:t xml:space="preserve">Anexo I — </w:t>
      </w:r>
      <w:r w:rsidRPr="003556C1">
        <w:rPr>
          <w:rFonts w:ascii="Century Gothic" w:hAnsi="Century Gothic"/>
        </w:rPr>
        <w:t>Termo de Referência — TR</w:t>
      </w:r>
    </w:p>
    <w:p w:rsidR="00233A96" w:rsidRPr="003556C1" w:rsidRDefault="001C04B4" w:rsidP="003556C1">
      <w:pPr>
        <w:spacing w:before="0" w:after="0" w:line="240" w:lineRule="auto"/>
        <w:ind w:left="141" w:firstLine="425"/>
        <w:rPr>
          <w:rFonts w:ascii="Century Gothic" w:hAnsi="Century Gothic"/>
        </w:rPr>
      </w:pPr>
      <w:r w:rsidRPr="003556C1">
        <w:rPr>
          <w:rFonts w:ascii="Century Gothic" w:hAnsi="Century Gothic"/>
          <w:b/>
          <w:bCs/>
        </w:rPr>
        <w:t xml:space="preserve">Anexo II — </w:t>
      </w:r>
      <w:r w:rsidRPr="003556C1">
        <w:rPr>
          <w:rFonts w:ascii="Century Gothic" w:hAnsi="Century Gothic"/>
        </w:rPr>
        <w:t>Estudo Técnico Preliminar — ETP</w:t>
      </w:r>
    </w:p>
    <w:p w:rsidR="00233A96" w:rsidRPr="003556C1" w:rsidRDefault="001C04B4" w:rsidP="003556C1">
      <w:pPr>
        <w:spacing w:before="0" w:after="0" w:line="240" w:lineRule="auto"/>
        <w:ind w:left="141" w:firstLine="425"/>
        <w:rPr>
          <w:rFonts w:ascii="Century Gothic" w:hAnsi="Century Gothic"/>
        </w:rPr>
      </w:pPr>
      <w:r w:rsidRPr="003556C1">
        <w:rPr>
          <w:rFonts w:ascii="Century Gothic" w:hAnsi="Century Gothic"/>
          <w:b/>
          <w:bCs/>
        </w:rPr>
        <w:t xml:space="preserve">Anexo III — </w:t>
      </w:r>
      <w:r w:rsidRPr="003556C1">
        <w:rPr>
          <w:rFonts w:ascii="Century Gothic" w:hAnsi="Century Gothic"/>
        </w:rPr>
        <w:t>Matriz de Critérios de Avaliação — MCA</w:t>
      </w:r>
    </w:p>
    <w:p w:rsidR="00233A96" w:rsidRPr="003556C1" w:rsidRDefault="001C04B4" w:rsidP="003556C1">
      <w:pPr>
        <w:spacing w:before="0" w:after="0" w:line="240" w:lineRule="auto"/>
        <w:ind w:left="141" w:firstLine="425"/>
        <w:rPr>
          <w:rFonts w:ascii="Century Gothic" w:hAnsi="Century Gothic"/>
        </w:rPr>
      </w:pPr>
      <w:r w:rsidRPr="003556C1">
        <w:rPr>
          <w:rFonts w:ascii="Century Gothic" w:hAnsi="Century Gothic"/>
          <w:b/>
          <w:bCs/>
        </w:rPr>
        <w:t xml:space="preserve">Anexo IV — </w:t>
      </w:r>
      <w:r w:rsidRPr="003556C1">
        <w:rPr>
          <w:rFonts w:ascii="Century Gothic" w:hAnsi="Century Gothic"/>
        </w:rPr>
        <w:t>Matriz de Riscos</w:t>
      </w:r>
    </w:p>
    <w:p w:rsidR="00233A96" w:rsidRPr="003556C1" w:rsidRDefault="001C04B4" w:rsidP="003556C1">
      <w:pPr>
        <w:spacing w:before="0" w:after="0" w:line="240" w:lineRule="auto"/>
        <w:ind w:left="141" w:firstLine="425"/>
        <w:rPr>
          <w:rFonts w:ascii="Century Gothic" w:hAnsi="Century Gothic"/>
        </w:rPr>
      </w:pPr>
      <w:r w:rsidRPr="003556C1">
        <w:rPr>
          <w:rFonts w:ascii="Century Gothic" w:hAnsi="Century Gothic"/>
          <w:b/>
          <w:bCs/>
        </w:rPr>
        <w:t xml:space="preserve">Anexo V — </w:t>
      </w:r>
      <w:r w:rsidRPr="003556C1">
        <w:rPr>
          <w:rFonts w:ascii="Century Gothic" w:hAnsi="Century Gothic"/>
        </w:rPr>
        <w:t>Indicadores de Desempenho — KPIs</w:t>
      </w:r>
    </w:p>
    <w:p w:rsidR="00233A96" w:rsidRPr="003556C1" w:rsidRDefault="001C04B4" w:rsidP="003556C1">
      <w:pPr>
        <w:spacing w:before="0" w:after="0" w:line="240" w:lineRule="auto"/>
        <w:ind w:left="141" w:firstLine="425"/>
        <w:rPr>
          <w:rFonts w:ascii="Century Gothic" w:hAnsi="Century Gothic"/>
        </w:rPr>
      </w:pPr>
      <w:r w:rsidRPr="003556C1">
        <w:rPr>
          <w:rFonts w:ascii="Century Gothic" w:hAnsi="Century Gothic"/>
          <w:b/>
          <w:bCs/>
        </w:rPr>
        <w:t xml:space="preserve">Anexo VI — </w:t>
      </w:r>
      <w:r w:rsidRPr="003556C1">
        <w:rPr>
          <w:rFonts w:ascii="Century Gothic" w:hAnsi="Century Gothic"/>
        </w:rPr>
        <w:t>Protocolo Operacional Padrão de Aferição de Público — POP</w:t>
      </w:r>
    </w:p>
    <w:p w:rsidR="00233A96" w:rsidRPr="003556C1" w:rsidRDefault="001C04B4" w:rsidP="003556C1">
      <w:pPr>
        <w:spacing w:before="0" w:after="0" w:line="240" w:lineRule="auto"/>
        <w:ind w:left="141" w:firstLine="425"/>
        <w:rPr>
          <w:rFonts w:ascii="Century Gothic" w:hAnsi="Century Gothic"/>
        </w:rPr>
      </w:pPr>
      <w:r w:rsidRPr="003556C1">
        <w:rPr>
          <w:rFonts w:ascii="Century Gothic" w:hAnsi="Century Gothic"/>
          <w:b/>
          <w:bCs/>
        </w:rPr>
        <w:t xml:space="preserve">Anexo VII — </w:t>
      </w:r>
      <w:r w:rsidRPr="003556C1">
        <w:rPr>
          <w:rFonts w:ascii="Century Gothic" w:hAnsi="Century Gothic"/>
        </w:rPr>
        <w:t>Planilha de Composição de Custos (modelo)</w:t>
      </w:r>
    </w:p>
    <w:p w:rsidR="00233A96" w:rsidRPr="003556C1" w:rsidRDefault="001C04B4" w:rsidP="003556C1">
      <w:pPr>
        <w:spacing w:before="0" w:after="0" w:line="240" w:lineRule="auto"/>
        <w:ind w:left="141" w:firstLine="425"/>
        <w:rPr>
          <w:rFonts w:ascii="Century Gothic" w:hAnsi="Century Gothic"/>
        </w:rPr>
      </w:pPr>
      <w:r w:rsidRPr="003556C1">
        <w:rPr>
          <w:rFonts w:ascii="Century Gothic" w:hAnsi="Century Gothic"/>
          <w:b/>
          <w:bCs/>
        </w:rPr>
        <w:t xml:space="preserve">Anexo VIII — </w:t>
      </w:r>
      <w:r w:rsidRPr="003556C1">
        <w:rPr>
          <w:rFonts w:ascii="Century Gothic" w:hAnsi="Century Gothic"/>
        </w:rPr>
        <w:t>Minuta de Contrato</w:t>
      </w:r>
    </w:p>
    <w:p w:rsidR="00233A96" w:rsidRPr="003556C1" w:rsidRDefault="001C04B4" w:rsidP="003556C1">
      <w:pPr>
        <w:spacing w:before="0" w:after="0" w:line="240" w:lineRule="auto"/>
        <w:ind w:left="141" w:firstLine="425"/>
        <w:rPr>
          <w:rFonts w:ascii="Century Gothic" w:hAnsi="Century Gothic"/>
        </w:rPr>
      </w:pPr>
      <w:r w:rsidRPr="003556C1">
        <w:rPr>
          <w:rFonts w:ascii="Century Gothic" w:hAnsi="Century Gothic"/>
          <w:b/>
          <w:bCs/>
        </w:rPr>
        <w:t xml:space="preserve">Anexo IX — </w:t>
      </w:r>
      <w:r w:rsidRPr="003556C1">
        <w:rPr>
          <w:rFonts w:ascii="Century Gothic" w:hAnsi="Century Gothic"/>
        </w:rPr>
        <w:t>Modelo de Declaração Unificada</w:t>
      </w:r>
    </w:p>
    <w:p w:rsidR="00233A96" w:rsidRPr="003556C1" w:rsidRDefault="001C04B4" w:rsidP="003556C1">
      <w:pPr>
        <w:spacing w:before="0" w:after="0" w:line="240" w:lineRule="auto"/>
        <w:ind w:left="141" w:firstLine="425"/>
        <w:rPr>
          <w:rFonts w:ascii="Century Gothic" w:hAnsi="Century Gothic"/>
        </w:rPr>
      </w:pPr>
      <w:r w:rsidRPr="003556C1">
        <w:rPr>
          <w:rFonts w:ascii="Century Gothic" w:hAnsi="Century Gothic"/>
          <w:b/>
          <w:bCs/>
        </w:rPr>
        <w:t xml:space="preserve">Anexo X — </w:t>
      </w:r>
      <w:r w:rsidRPr="003556C1">
        <w:rPr>
          <w:rFonts w:ascii="Century Gothic" w:hAnsi="Century Gothic"/>
        </w:rPr>
        <w:t>Modelo de Proposta de Preços</w:t>
      </w:r>
    </w:p>
    <w:p w:rsidR="00233A96" w:rsidRPr="003556C1" w:rsidRDefault="001C04B4" w:rsidP="003556C1">
      <w:pPr>
        <w:spacing w:before="0" w:after="0" w:line="240" w:lineRule="auto"/>
        <w:ind w:left="141" w:firstLine="425"/>
        <w:rPr>
          <w:rFonts w:ascii="Century Gothic" w:hAnsi="Century Gothic"/>
        </w:rPr>
      </w:pPr>
      <w:r w:rsidRPr="003556C1">
        <w:rPr>
          <w:rFonts w:ascii="Century Gothic" w:hAnsi="Century Gothic"/>
          <w:b/>
          <w:bCs/>
        </w:rPr>
        <w:t>Anexo XI</w:t>
      </w:r>
      <w:r w:rsidRPr="003556C1">
        <w:rPr>
          <w:rFonts w:ascii="Century Gothic" w:hAnsi="Century Gothic"/>
        </w:rPr>
        <w:t xml:space="preserve"> — Modelo de Proposta Técnica </w:t>
      </w:r>
    </w:p>
    <w:p w:rsidR="00233A96" w:rsidRPr="003556C1" w:rsidRDefault="00233A96" w:rsidP="003556C1">
      <w:pPr>
        <w:spacing w:before="0" w:after="0" w:line="240" w:lineRule="auto"/>
        <w:ind w:left="141" w:firstLine="425"/>
        <w:rPr>
          <w:rFonts w:ascii="Century Gothic" w:hAnsi="Century Gothic"/>
        </w:rPr>
      </w:pPr>
    </w:p>
    <w:p w:rsidR="00233A96" w:rsidRPr="003556C1" w:rsidRDefault="00233A96" w:rsidP="003556C1">
      <w:pPr>
        <w:spacing w:before="0" w:after="0" w:line="240" w:lineRule="auto"/>
        <w:ind w:left="141" w:firstLine="425"/>
        <w:rPr>
          <w:rFonts w:ascii="Century Gothic" w:hAnsi="Century Gothic"/>
          <w:b/>
          <w:bCs/>
        </w:rPr>
      </w:pPr>
    </w:p>
    <w:sectPr w:rsidR="00233A96" w:rsidRPr="003556C1" w:rsidSect="00675215">
      <w:headerReference w:type="default" r:id="rId13"/>
      <w:footerReference w:type="default" r:id="rId14"/>
      <w:pgSz w:w="11909" w:h="16834"/>
      <w:pgMar w:top="1440" w:right="1440" w:bottom="1440" w:left="1440" w:header="720" w:footer="206"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70B75" w:rsidRDefault="00C70B75" w:rsidP="00675215">
      <w:pPr>
        <w:spacing w:before="0" w:after="0" w:line="240" w:lineRule="auto"/>
      </w:pPr>
      <w:r>
        <w:separator/>
      </w:r>
    </w:p>
  </w:endnote>
  <w:endnote w:type="continuationSeparator" w:id="0">
    <w:p w:rsidR="00C70B75" w:rsidRDefault="00C70B75" w:rsidP="00675215">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1" w:fontKey="{A429A9F4-C9A1-4687-A35B-0CFCD30ACCA6}"/>
    <w:embedBold r:id="rId2" w:fontKey="{A566CA08-A360-491B-A727-486D6EC11335}"/>
    <w:embedItalic r:id="rId3" w:fontKey="{C818C1D7-019A-403B-A05C-CCEFE8C94D23}"/>
  </w:font>
  <w:font w:name="Gungsuh">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embedRegular r:id="rId4" w:fontKey="{97A20201-13F3-41F3-AE12-D6D31F2766CB}"/>
  </w:font>
  <w:font w:name="Cambria">
    <w:panose1 w:val="02040503050406030204"/>
    <w:charset w:val="00"/>
    <w:family w:val="roman"/>
    <w:pitch w:val="variable"/>
    <w:sig w:usb0="E00006FF" w:usb1="420024FF" w:usb2="02000000" w:usb3="00000000" w:csb0="0000019F" w:csb1="00000000"/>
    <w:embedRegular r:id="rId5" w:fontKey="{057CFB13-D581-4ECA-81BA-BFE9393CF12E}"/>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88854105"/>
      <w:docPartObj>
        <w:docPartGallery w:val="Page Numbers (Bottom of Page)"/>
        <w:docPartUnique/>
      </w:docPartObj>
    </w:sdtPr>
    <w:sdtEndPr/>
    <w:sdtContent>
      <w:p w:rsidR="00675215" w:rsidRDefault="00675215">
        <w:pPr>
          <w:pStyle w:val="Rodap"/>
          <w:jc w:val="center"/>
        </w:pPr>
        <w:r>
          <w:fldChar w:fldCharType="begin"/>
        </w:r>
        <w:r>
          <w:instrText>PAGE   \* MERGEFORMAT</w:instrText>
        </w:r>
        <w:r>
          <w:fldChar w:fldCharType="separate"/>
        </w:r>
        <w:r w:rsidR="00FE0119">
          <w:rPr>
            <w:noProof/>
          </w:rPr>
          <w:t>2</w:t>
        </w:r>
        <w:r>
          <w:fldChar w:fldCharType="end"/>
        </w:r>
      </w:p>
    </w:sdtContent>
  </w:sdt>
  <w:p w:rsidR="00675215" w:rsidRPr="00675215" w:rsidRDefault="00675215" w:rsidP="00675215">
    <w:pPr>
      <w:pStyle w:val="Rodap"/>
      <w:jc w:val="right"/>
      <w:rPr>
        <w:sz w:val="16"/>
        <w:szCs w:val="16"/>
      </w:rPr>
    </w:pPr>
    <w:r w:rsidRPr="00675215">
      <w:rPr>
        <w:sz w:val="16"/>
        <w:szCs w:val="16"/>
      </w:rPr>
      <w:t>Secretaria Municipal de Governo</w:t>
    </w:r>
  </w:p>
  <w:p w:rsidR="00675215" w:rsidRPr="00675215" w:rsidRDefault="00675215" w:rsidP="00675215">
    <w:pPr>
      <w:pStyle w:val="Rodap"/>
      <w:jc w:val="right"/>
      <w:rPr>
        <w:sz w:val="16"/>
        <w:szCs w:val="16"/>
      </w:rPr>
    </w:pPr>
    <w:r w:rsidRPr="00675215">
      <w:rPr>
        <w:sz w:val="16"/>
        <w:szCs w:val="16"/>
      </w:rPr>
      <w:t>Diretoria de Licitações e Contratos</w:t>
    </w:r>
  </w:p>
  <w:p w:rsidR="00675215" w:rsidRPr="00675215" w:rsidRDefault="00675215" w:rsidP="00675215">
    <w:pPr>
      <w:pStyle w:val="Rodap"/>
      <w:jc w:val="right"/>
      <w:rPr>
        <w:sz w:val="16"/>
        <w:szCs w:val="16"/>
      </w:rPr>
    </w:pPr>
    <w:r w:rsidRPr="00675215">
      <w:rPr>
        <w:sz w:val="16"/>
        <w:szCs w:val="16"/>
      </w:rPr>
      <w:t>Rua Alberto Werner • 100 • Vila Operária</w:t>
    </w:r>
  </w:p>
  <w:p w:rsidR="00675215" w:rsidRPr="00675215" w:rsidRDefault="00675215" w:rsidP="00675215">
    <w:pPr>
      <w:pStyle w:val="Rodap"/>
      <w:jc w:val="right"/>
      <w:rPr>
        <w:sz w:val="16"/>
        <w:szCs w:val="16"/>
      </w:rPr>
    </w:pPr>
    <w:r w:rsidRPr="00675215">
      <w:rPr>
        <w:sz w:val="16"/>
        <w:szCs w:val="16"/>
      </w:rPr>
      <w:t>88304-053 • Itajaí • Santa Catarina</w:t>
    </w:r>
  </w:p>
  <w:p w:rsidR="00675215" w:rsidRPr="00675215" w:rsidRDefault="00675215" w:rsidP="00675215">
    <w:pPr>
      <w:pStyle w:val="Rodap"/>
      <w:jc w:val="right"/>
      <w:rPr>
        <w:sz w:val="16"/>
        <w:szCs w:val="16"/>
      </w:rPr>
    </w:pPr>
    <w:r w:rsidRPr="00675215">
      <w:rPr>
        <w:sz w:val="16"/>
        <w:szCs w:val="16"/>
      </w:rPr>
      <w:t>47-3341-6029</w:t>
    </w:r>
  </w:p>
  <w:p w:rsidR="00675215" w:rsidRPr="00675215" w:rsidRDefault="00675215" w:rsidP="00675215">
    <w:pPr>
      <w:pStyle w:val="Rodap"/>
      <w:jc w:val="right"/>
      <w:rPr>
        <w:sz w:val="16"/>
        <w:szCs w:val="16"/>
      </w:rPr>
    </w:pPr>
    <w:r w:rsidRPr="00675215">
      <w:rPr>
        <w:sz w:val="16"/>
        <w:szCs w:val="16"/>
      </w:rPr>
      <w:t xml:space="preserve">                                                                                                                                                                www.itajai.sc.gov.br</w:t>
    </w:r>
  </w:p>
  <w:p w:rsidR="00675215" w:rsidRPr="00675215" w:rsidRDefault="00675215" w:rsidP="00675215">
    <w:pPr>
      <w:pStyle w:val="Rodap"/>
      <w:jc w:val="right"/>
      <w:rPr>
        <w:sz w:val="16"/>
        <w:szCs w:val="16"/>
      </w:rPr>
    </w:pPr>
    <w:r w:rsidRPr="00675215">
      <w:rPr>
        <w:sz w:val="16"/>
        <w:szCs w:val="16"/>
      </w:rPr>
      <w:t>https://bnccompras.com/</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70B75" w:rsidRDefault="00C70B75" w:rsidP="00675215">
      <w:pPr>
        <w:spacing w:before="0" w:after="0" w:line="240" w:lineRule="auto"/>
      </w:pPr>
      <w:r>
        <w:separator/>
      </w:r>
    </w:p>
  </w:footnote>
  <w:footnote w:type="continuationSeparator" w:id="0">
    <w:p w:rsidR="00C70B75" w:rsidRDefault="00C70B75" w:rsidP="00675215">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75215" w:rsidRDefault="00675215">
    <w:pPr>
      <w:pStyle w:val="Cabealho"/>
    </w:pPr>
    <w:r>
      <w:rPr>
        <w:noProof/>
      </w:rPr>
      <w:drawing>
        <wp:anchor distT="0" distB="0" distL="114300" distR="114300" simplePos="0" relativeHeight="251658240" behindDoc="0" locked="0" layoutInCell="1" allowOverlap="1" wp14:editId="1C21C55B">
          <wp:simplePos x="0" y="0"/>
          <wp:positionH relativeFrom="margin">
            <wp:posOffset>4394200</wp:posOffset>
          </wp:positionH>
          <wp:positionV relativeFrom="paragraph">
            <wp:posOffset>-279400</wp:posOffset>
          </wp:positionV>
          <wp:extent cx="1704340" cy="608965"/>
          <wp:effectExtent l="0" t="0" r="0" b="0"/>
          <wp:wrapNone/>
          <wp:docPr id="1" name="Imagem 1" descr="Descrição: Logotipo, nome da empres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01582733" descr="Descrição: Logotipo, nome da empresa&#10;&#10;O conteúdo gerado por IA pode estar incorre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04340" cy="60896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0AE71BA"/>
    <w:multiLevelType w:val="multilevel"/>
    <w:tmpl w:val="75548786"/>
    <w:lvl w:ilvl="0">
      <w:start w:val="1"/>
      <w:numFmt w:val="decimal"/>
      <w:lvlText w:val="%1."/>
      <w:lvlJc w:val="right"/>
      <w:pPr>
        <w:ind w:left="720" w:hanging="360"/>
      </w:pPr>
      <w:rPr>
        <w:u w:val="none"/>
      </w:rPr>
    </w:lvl>
    <w:lvl w:ilvl="1">
      <w:start w:val="1"/>
      <w:numFmt w:val="decimal"/>
      <w:lvlText w:val="%1.%2."/>
      <w:lvlJc w:val="right"/>
      <w:pPr>
        <w:ind w:left="1440" w:hanging="360"/>
      </w:pPr>
      <w:rPr>
        <w:rFonts w:ascii="Times New Roman" w:eastAsia="Times New Roman" w:hAnsi="Times New Roman" w:cs="Times New Roman"/>
        <w:b/>
        <w:bCs/>
        <w:u w:val="none"/>
      </w:rPr>
    </w:lvl>
    <w:lvl w:ilvl="2">
      <w:start w:val="1"/>
      <w:numFmt w:val="decimal"/>
      <w:lvlText w:val="%1.%2.%3."/>
      <w:lvlJc w:val="right"/>
      <w:pPr>
        <w:ind w:left="2160" w:hanging="360"/>
      </w:pPr>
      <w:rPr>
        <w:rFonts w:ascii="Times New Roman" w:eastAsia="Times New Roman" w:hAnsi="Times New Roman" w:cs="Times New Roman"/>
        <w:b/>
        <w:bCs/>
        <w:u w:val="none"/>
      </w:rPr>
    </w:lvl>
    <w:lvl w:ilvl="3">
      <w:start w:val="1"/>
      <w:numFmt w:val="decimal"/>
      <w:lvlText w:val="%1.%2.%3.%4."/>
      <w:lvlJc w:val="right"/>
      <w:pPr>
        <w:ind w:left="1133" w:hanging="359"/>
      </w:pPr>
      <w:rPr>
        <w:rFonts w:ascii="Times New Roman" w:eastAsia="Times New Roman" w:hAnsi="Times New Roman" w:cs="Times New Roman"/>
        <w:b/>
        <w:bCs/>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 w15:restartNumberingAfterBreak="0">
    <w:nsid w:val="55403EA2"/>
    <w:multiLevelType w:val="multilevel"/>
    <w:tmpl w:val="23D03F8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3A96"/>
    <w:rsid w:val="000C5135"/>
    <w:rsid w:val="000C5C76"/>
    <w:rsid w:val="001C04B4"/>
    <w:rsid w:val="00233A96"/>
    <w:rsid w:val="003556C1"/>
    <w:rsid w:val="00544990"/>
    <w:rsid w:val="00675215"/>
    <w:rsid w:val="00794206"/>
    <w:rsid w:val="00823463"/>
    <w:rsid w:val="00BC3E6E"/>
    <w:rsid w:val="00C70B75"/>
    <w:rsid w:val="00E343B8"/>
    <w:rsid w:val="00FE011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3E306A44"/>
  <w15:docId w15:val="{41C94DC2-653B-43EB-B559-8A92935DC3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pt-BR" w:eastAsia="pt-BR" w:bidi="ar-SA"/>
      </w:rPr>
    </w:rPrDefault>
    <w:pPrDefault>
      <w:pPr>
        <w:spacing w:before="200" w:after="200" w:line="360" w:lineRule="auto"/>
        <w:ind w:left="1440" w:hanging="36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00" w:after="120"/>
      <w:outlineLvl w:val="0"/>
    </w:pPr>
    <w:rPr>
      <w:sz w:val="40"/>
      <w:szCs w:val="40"/>
    </w:rPr>
  </w:style>
  <w:style w:type="paragraph" w:styleId="Ttulo2">
    <w:name w:val="heading 2"/>
    <w:basedOn w:val="Normal"/>
    <w:next w:val="Normal"/>
    <w:pPr>
      <w:keepNext/>
      <w:keepLines/>
      <w:outlineLvl w:val="1"/>
    </w:pPr>
    <w:rPr>
      <w:b/>
      <w:bCs/>
    </w:rPr>
  </w:style>
  <w:style w:type="paragraph" w:styleId="Ttulo3">
    <w:name w:val="heading 3"/>
    <w:basedOn w:val="Normal"/>
    <w:next w:val="Normal"/>
    <w:pPr>
      <w:keepNext/>
      <w:keepLines/>
      <w:spacing w:before="320" w:after="80"/>
      <w:outlineLvl w:val="2"/>
    </w:pPr>
    <w:rPr>
      <w:color w:val="434343"/>
      <w:sz w:val="28"/>
      <w:szCs w:val="28"/>
    </w:rPr>
  </w:style>
  <w:style w:type="paragraph" w:styleId="Ttulo4">
    <w:name w:val="heading 4"/>
    <w:basedOn w:val="Normal"/>
    <w:next w:val="Normal"/>
    <w:pPr>
      <w:keepNext/>
      <w:keepLines/>
      <w:spacing w:before="280" w:after="80"/>
      <w:outlineLvl w:val="3"/>
    </w:pPr>
    <w:rPr>
      <w:color w:val="666666"/>
    </w:rPr>
  </w:style>
  <w:style w:type="paragraph" w:styleId="Ttulo5">
    <w:name w:val="heading 5"/>
    <w:basedOn w:val="Normal"/>
    <w:next w:val="Normal"/>
    <w:pPr>
      <w:keepNext/>
      <w:keepLines/>
      <w:spacing w:before="240" w:after="80"/>
      <w:outlineLvl w:val="4"/>
    </w:pPr>
    <w:rPr>
      <w:color w:val="666666"/>
      <w:sz w:val="22"/>
      <w:szCs w:val="22"/>
    </w:rPr>
  </w:style>
  <w:style w:type="paragraph" w:styleId="Ttulo6">
    <w:name w:val="heading 6"/>
    <w:basedOn w:val="Normal"/>
    <w:next w:val="Normal"/>
    <w:pPr>
      <w:keepNext/>
      <w:keepLines/>
      <w:spacing w:before="240" w:after="80"/>
      <w:outlineLvl w:val="5"/>
    </w:pPr>
    <w:rPr>
      <w:i/>
      <w:iCs/>
      <w:color w:val="666666"/>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0" w:after="60"/>
    </w:pPr>
    <w:rPr>
      <w:sz w:val="52"/>
      <w:szCs w:val="52"/>
    </w:rPr>
  </w:style>
  <w:style w:type="paragraph" w:styleId="Subttulo">
    <w:name w:val="Subtitle"/>
    <w:basedOn w:val="Normal"/>
    <w:next w:val="Normal"/>
    <w:pPr>
      <w:keepNext/>
      <w:keepLines/>
      <w:spacing w:before="0" w:after="320"/>
    </w:pPr>
    <w:rPr>
      <w:rFonts w:ascii="Arial" w:eastAsia="Arial" w:hAnsi="Arial" w:cs="Arial"/>
      <w:color w:val="666666"/>
      <w:sz w:val="30"/>
      <w:szCs w:val="30"/>
    </w:rPr>
  </w:style>
  <w:style w:type="paragraph" w:styleId="Cabealho">
    <w:name w:val="header"/>
    <w:basedOn w:val="Normal"/>
    <w:link w:val="CabealhoChar"/>
    <w:uiPriority w:val="99"/>
    <w:unhideWhenUsed/>
    <w:rsid w:val="00675215"/>
    <w:pPr>
      <w:tabs>
        <w:tab w:val="center" w:pos="4252"/>
        <w:tab w:val="right" w:pos="8504"/>
      </w:tabs>
      <w:spacing w:before="0" w:after="0" w:line="240" w:lineRule="auto"/>
    </w:pPr>
  </w:style>
  <w:style w:type="character" w:customStyle="1" w:styleId="CabealhoChar">
    <w:name w:val="Cabeçalho Char"/>
    <w:basedOn w:val="Fontepargpadro"/>
    <w:link w:val="Cabealho"/>
    <w:uiPriority w:val="99"/>
    <w:rsid w:val="00675215"/>
  </w:style>
  <w:style w:type="paragraph" w:styleId="Rodap">
    <w:name w:val="footer"/>
    <w:basedOn w:val="Normal"/>
    <w:link w:val="RodapChar"/>
    <w:uiPriority w:val="99"/>
    <w:unhideWhenUsed/>
    <w:rsid w:val="00675215"/>
    <w:pPr>
      <w:tabs>
        <w:tab w:val="center" w:pos="4252"/>
        <w:tab w:val="right" w:pos="8504"/>
      </w:tabs>
      <w:spacing w:before="0" w:after="0" w:line="240" w:lineRule="auto"/>
    </w:pPr>
  </w:style>
  <w:style w:type="character" w:customStyle="1" w:styleId="RodapChar">
    <w:name w:val="Rodapé Char"/>
    <w:basedOn w:val="Fontepargpadro"/>
    <w:link w:val="Rodap"/>
    <w:uiPriority w:val="99"/>
    <w:rsid w:val="00675215"/>
  </w:style>
  <w:style w:type="character" w:styleId="Hyperlink">
    <w:name w:val="Hyperlink"/>
    <w:basedOn w:val="Fontepargpadro"/>
    <w:uiPriority w:val="99"/>
    <w:unhideWhenUsed/>
    <w:rsid w:val="00675215"/>
    <w:rPr>
      <w:color w:val="0000FF" w:themeColor="hyperlink"/>
      <w:u w:val="single"/>
    </w:rPr>
  </w:style>
  <w:style w:type="paragraph" w:styleId="PargrafodaLista">
    <w:name w:val="List Paragraph"/>
    <w:basedOn w:val="Normal"/>
    <w:uiPriority w:val="34"/>
    <w:qFormat/>
    <w:rsid w:val="003556C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gov.br"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bnccompras.com/" TargetMode="Externa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mailto:contato@bnc.org.br" TargetMode="External"/><Relationship Id="rId4" Type="http://schemas.openxmlformats.org/officeDocument/2006/relationships/styles" Target="styles.xml"/><Relationship Id="rId9" Type="http://schemas.openxmlformats.org/officeDocument/2006/relationships/hyperlink" Target="https://bnccompras.com/"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baX0dKQOQNNhcQucMz4Xs49ILw==">CgMxLjA4AHIhMW1zemZZUURrdXMzbzdtSUYydXZWZ184VkhKaGFTVVFF</go:docsCustomData>
</go:gDocsCustomXmlData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53DC521-F67D-404E-885A-604F9B7786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19</Pages>
  <Words>6430</Words>
  <Characters>34726</Characters>
  <Application>Microsoft Office Word</Application>
  <DocSecurity>0</DocSecurity>
  <Lines>289</Lines>
  <Paragraphs>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Leonardo Beckert</dc:creator>
  <cp:lastModifiedBy>Simone Sibeli da Silva</cp:lastModifiedBy>
  <cp:revision>11</cp:revision>
  <cp:lastPrinted>2026-06-12T13:34:00Z</cp:lastPrinted>
  <dcterms:created xsi:type="dcterms:W3CDTF">2026-06-09T21:26:00Z</dcterms:created>
  <dcterms:modified xsi:type="dcterms:W3CDTF">2026-06-26T17:07:00Z</dcterms:modified>
</cp:coreProperties>
</file>